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49A" w:rsidRDefault="00A8392A">
      <w:pPr>
        <w:pStyle w:val="Header"/>
        <w:jc w:val="center"/>
        <w:rPr>
          <w:b/>
        </w:rPr>
      </w:pPr>
      <w:bookmarkStart w:id="0" w:name="_GoBack"/>
      <w:bookmarkEnd w:id="0"/>
      <w:r>
        <w:rPr>
          <w:b/>
        </w:rPr>
        <w:t>ASSORTMENT OF HEALTH CARE ANTITRUST RESOURCES</w:t>
      </w:r>
      <w:r>
        <w:rPr>
          <w:rStyle w:val="FootnoteReference"/>
          <w:b/>
        </w:rPr>
        <w:footnoteReference w:id="2"/>
      </w:r>
    </w:p>
    <w:p w:rsidR="006D749A" w:rsidRDefault="00A8392A">
      <w:pPr>
        <w:pStyle w:val="BodyText"/>
        <w:rPr>
          <w:b/>
          <w:u w:val="single"/>
        </w:rPr>
      </w:pPr>
      <w:r>
        <w:rPr>
          <w:b/>
          <w:u w:val="single"/>
        </w:rPr>
        <w:t xml:space="preserve">DOJ Antitrust Division– General </w:t>
      </w:r>
    </w:p>
    <w:p w:rsidR="006D749A" w:rsidRDefault="002573AA">
      <w:pPr>
        <w:pStyle w:val="BodyText"/>
        <w:ind w:left="288"/>
      </w:pPr>
      <w:hyperlink r:id="rId9" w:history="1">
        <w:r w:rsidR="00A8392A">
          <w:rPr>
            <w:rStyle w:val="Hyperlink"/>
          </w:rPr>
          <w:t>Antitrust Division Manual</w:t>
        </w:r>
      </w:hyperlink>
      <w:r w:rsidR="00A8392A">
        <w:t xml:space="preserve">, Fifth Edition (Updated August 2017) – Internal DOJ guidance on antitrust generally, including guidance for antitrust in the health care setting. To select a specific section of the manual to review, click </w:t>
      </w:r>
      <w:hyperlink r:id="rId10" w:history="1">
        <w:r w:rsidR="00A8392A">
          <w:rPr>
            <w:rStyle w:val="Hyperlink"/>
          </w:rPr>
          <w:t>here</w:t>
        </w:r>
      </w:hyperlink>
      <w:r w:rsidR="00A8392A">
        <w:t xml:space="preserve">. </w:t>
      </w:r>
    </w:p>
    <w:p w:rsidR="006D749A" w:rsidRDefault="002573AA">
      <w:pPr>
        <w:pStyle w:val="BodyText"/>
        <w:ind w:left="288"/>
      </w:pPr>
      <w:hyperlink r:id="rId11" w:history="1">
        <w:r w:rsidR="00A8392A">
          <w:rPr>
            <w:rStyle w:val="Hyperlink"/>
          </w:rPr>
          <w:t>DOJ Articles and Papers</w:t>
        </w:r>
      </w:hyperlink>
      <w:r w:rsidR="00A8392A">
        <w:t xml:space="preserve">, Last updated on August 10, 2016 – Articles and papers on antitrust, some of which discuss health care issues, from 2008 – 2016. </w:t>
      </w:r>
    </w:p>
    <w:p w:rsidR="006D749A" w:rsidRDefault="00A8392A">
      <w:pPr>
        <w:pStyle w:val="BodyText"/>
        <w:rPr>
          <w:b/>
          <w:u w:val="single"/>
        </w:rPr>
      </w:pPr>
      <w:r>
        <w:rPr>
          <w:b/>
          <w:u w:val="single"/>
        </w:rPr>
        <w:t xml:space="preserve">DOJ Antitrust Division – Health Care </w:t>
      </w:r>
    </w:p>
    <w:p w:rsidR="006D749A" w:rsidRDefault="002573AA">
      <w:pPr>
        <w:pStyle w:val="BodyText"/>
        <w:ind w:left="288"/>
      </w:pPr>
      <w:hyperlink r:id="rId12" w:history="1">
        <w:r w:rsidR="00A8392A">
          <w:rPr>
            <w:rStyle w:val="Hyperlink"/>
          </w:rPr>
          <w:t>DOJ Antitrust Division – Health Care</w:t>
        </w:r>
      </w:hyperlink>
      <w:r w:rsidR="00A8392A">
        <w:t xml:space="preserve"> – Provides an overview of the DOJ Antitrust division in Health Care and provides several useful resources – many of which are included below. </w:t>
      </w:r>
    </w:p>
    <w:p w:rsidR="006D749A" w:rsidRDefault="002573AA">
      <w:pPr>
        <w:pStyle w:val="BodyText"/>
        <w:numPr>
          <w:ilvl w:val="0"/>
          <w:numId w:val="14"/>
        </w:numPr>
      </w:pPr>
      <w:hyperlink r:id="rId13" w:history="1">
        <w:r w:rsidR="00A8392A">
          <w:rPr>
            <w:rStyle w:val="Hyperlink"/>
          </w:rPr>
          <w:t>Summary of Health Care Cases</w:t>
        </w:r>
      </w:hyperlink>
      <w:r w:rsidR="00A8392A">
        <w:t xml:space="preserve"> – Cases from 1983 through 2017.  </w:t>
      </w:r>
    </w:p>
    <w:p w:rsidR="006D749A" w:rsidRDefault="002573AA">
      <w:pPr>
        <w:pStyle w:val="BodyText"/>
        <w:numPr>
          <w:ilvl w:val="0"/>
          <w:numId w:val="14"/>
        </w:numPr>
      </w:pPr>
      <w:hyperlink r:id="rId14" w:history="1">
        <w:r w:rsidR="00A8392A">
          <w:rPr>
            <w:rStyle w:val="Hyperlink"/>
          </w:rPr>
          <w:t>Health Care Matters Resolved Without a Case Filed</w:t>
        </w:r>
      </w:hyperlink>
      <w:r w:rsidR="00A8392A">
        <w:t xml:space="preserve"> – Matters from 1983 through 2012 and provides additional links to the applicable press releases.  </w:t>
      </w:r>
    </w:p>
    <w:p w:rsidR="006D749A" w:rsidRDefault="002573AA">
      <w:pPr>
        <w:pStyle w:val="BodyText"/>
        <w:numPr>
          <w:ilvl w:val="0"/>
          <w:numId w:val="14"/>
        </w:numPr>
      </w:pPr>
      <w:hyperlink r:id="rId15" w:history="1">
        <w:r w:rsidR="00A8392A">
          <w:rPr>
            <w:rStyle w:val="Hyperlink"/>
          </w:rPr>
          <w:t>Health Care Press Releases</w:t>
        </w:r>
      </w:hyperlink>
      <w:r w:rsidR="00A8392A">
        <w:t xml:space="preserve"> – Press releases since 1992. </w:t>
      </w:r>
    </w:p>
    <w:p w:rsidR="006D749A" w:rsidRDefault="002573AA">
      <w:pPr>
        <w:pStyle w:val="BodyText"/>
        <w:numPr>
          <w:ilvl w:val="0"/>
          <w:numId w:val="14"/>
        </w:numPr>
      </w:pPr>
      <w:hyperlink r:id="rId16" w:history="1">
        <w:r w:rsidR="00A8392A">
          <w:rPr>
            <w:rStyle w:val="Hyperlink"/>
          </w:rPr>
          <w:t>Health Care Speeches</w:t>
        </w:r>
      </w:hyperlink>
      <w:r w:rsidR="00A8392A">
        <w:t xml:space="preserve"> – Speeches since 1994. </w:t>
      </w:r>
    </w:p>
    <w:p w:rsidR="006D749A" w:rsidRDefault="002573AA">
      <w:pPr>
        <w:pStyle w:val="BodyText"/>
        <w:numPr>
          <w:ilvl w:val="0"/>
          <w:numId w:val="14"/>
        </w:numPr>
      </w:pPr>
      <w:hyperlink r:id="rId17" w:history="1">
        <w:r w:rsidR="00A8392A">
          <w:rPr>
            <w:rStyle w:val="Hyperlink"/>
          </w:rPr>
          <w:t>Health Care Competition Advocacy</w:t>
        </w:r>
      </w:hyperlink>
      <w:r w:rsidR="00A8392A">
        <w:t xml:space="preserve">, Updated July 26, 2017 – Letters, testimony, and joint statements with regard to health care competition. </w:t>
      </w:r>
    </w:p>
    <w:p w:rsidR="006D749A" w:rsidRDefault="002573AA">
      <w:pPr>
        <w:pStyle w:val="BodyText"/>
        <w:numPr>
          <w:ilvl w:val="0"/>
          <w:numId w:val="14"/>
        </w:numPr>
      </w:pPr>
      <w:hyperlink r:id="rId18" w:history="1">
        <w:r w:rsidR="00A8392A">
          <w:rPr>
            <w:rStyle w:val="Hyperlink"/>
          </w:rPr>
          <w:t>Health Care Related Congressional Testimony</w:t>
        </w:r>
      </w:hyperlink>
      <w:r w:rsidR="00A8392A">
        <w:t xml:space="preserve">, Updated September 14, 2015 – Testimony from congressional speakers from 1999 through 2010. </w:t>
      </w:r>
    </w:p>
    <w:p w:rsidR="006D749A" w:rsidRDefault="002573AA">
      <w:pPr>
        <w:pStyle w:val="BodyText"/>
        <w:numPr>
          <w:ilvl w:val="0"/>
          <w:numId w:val="14"/>
        </w:numPr>
      </w:pPr>
      <w:hyperlink r:id="rId19" w:history="1">
        <w:r w:rsidR="00A8392A">
          <w:rPr>
            <w:rStyle w:val="Hyperlink"/>
          </w:rPr>
          <w:t>Business Reviews</w:t>
        </w:r>
      </w:hyperlink>
      <w:r w:rsidR="00A8392A">
        <w:t xml:space="preserve"> – Business reviews since the issuance of the 1993 DOJ/FTC Health Care Antitrust Statement of Enforcement Policy. </w:t>
      </w:r>
    </w:p>
    <w:p w:rsidR="006D749A" w:rsidRDefault="00A8392A">
      <w:pPr>
        <w:pStyle w:val="BodyText"/>
        <w:ind w:left="288"/>
        <w:rPr>
          <w:b/>
          <w:i/>
        </w:rPr>
      </w:pPr>
      <w:r>
        <w:rPr>
          <w:b/>
          <w:i/>
        </w:rPr>
        <w:t>Guidance and Policy (DOJ/FTC)</w:t>
      </w:r>
    </w:p>
    <w:p w:rsidR="006D749A" w:rsidRDefault="002573AA">
      <w:pPr>
        <w:pStyle w:val="BodyText"/>
        <w:numPr>
          <w:ilvl w:val="0"/>
          <w:numId w:val="16"/>
        </w:numPr>
      </w:pPr>
      <w:hyperlink r:id="rId20" w:history="1">
        <w:r w:rsidR="00A8392A">
          <w:rPr>
            <w:rStyle w:val="Hyperlink"/>
          </w:rPr>
          <w:t>Statement of Antitrust Enforcement Policy Regarding ACOs Participating in the Medicare Shared Savings Program</w:t>
        </w:r>
      </w:hyperlink>
      <w:r w:rsidR="00A8392A">
        <w:t xml:space="preserve">, October 20, 2011. </w:t>
      </w:r>
    </w:p>
    <w:p w:rsidR="006D749A" w:rsidRDefault="002573AA">
      <w:pPr>
        <w:pStyle w:val="BodyText"/>
        <w:numPr>
          <w:ilvl w:val="1"/>
          <w:numId w:val="16"/>
        </w:numPr>
      </w:pPr>
      <w:hyperlink r:id="rId21" w:history="1">
        <w:r w:rsidR="00A8392A">
          <w:rPr>
            <w:rStyle w:val="Hyperlink"/>
          </w:rPr>
          <w:t xml:space="preserve">Documents on Accountable Care Organizations </w:t>
        </w:r>
      </w:hyperlink>
      <w:r w:rsidR="00A8392A">
        <w:t xml:space="preserve">– Additional documents discussing antitrust issues with regard to ACOs. </w:t>
      </w:r>
    </w:p>
    <w:p w:rsidR="006D749A" w:rsidRDefault="002573AA">
      <w:pPr>
        <w:pStyle w:val="BodyText"/>
        <w:numPr>
          <w:ilvl w:val="0"/>
          <w:numId w:val="16"/>
        </w:numPr>
      </w:pPr>
      <w:hyperlink r:id="rId22" w:history="1">
        <w:r w:rsidR="00A8392A">
          <w:rPr>
            <w:rStyle w:val="Hyperlink"/>
          </w:rPr>
          <w:t>Statement of Antitrust Enforcement Policy in Health Care</w:t>
        </w:r>
      </w:hyperlink>
      <w:r w:rsidR="00A8392A">
        <w:t>, August 1996.</w:t>
      </w:r>
    </w:p>
    <w:p w:rsidR="006D749A" w:rsidRDefault="00A8392A">
      <w:pPr>
        <w:pStyle w:val="BodyText"/>
        <w:rPr>
          <w:b/>
          <w:u w:val="single"/>
        </w:rPr>
      </w:pPr>
      <w:r>
        <w:rPr>
          <w:b/>
          <w:u w:val="single"/>
        </w:rPr>
        <w:t>DOJ/FTC – General Antitrust</w:t>
      </w:r>
    </w:p>
    <w:p w:rsidR="006D749A" w:rsidRDefault="002573AA">
      <w:pPr>
        <w:pStyle w:val="BodyText"/>
        <w:ind w:left="288"/>
      </w:pPr>
      <w:hyperlink r:id="rId23" w:history="1">
        <w:r w:rsidR="00A8392A">
          <w:rPr>
            <w:rStyle w:val="Hyperlink"/>
          </w:rPr>
          <w:t>Horizontal Merger Guidelines</w:t>
        </w:r>
      </w:hyperlink>
      <w:r w:rsidR="00A8392A">
        <w:t xml:space="preserve">, August 19, 2010 – DOJ and FTC’s jointly issued guidelines on the practices and enforcement policy with respect to mergers and acquisitions involving actual or potential competitors. </w:t>
      </w:r>
    </w:p>
    <w:p w:rsidR="006D749A" w:rsidRDefault="002573AA">
      <w:pPr>
        <w:pStyle w:val="BodyText"/>
        <w:ind w:left="288"/>
      </w:pPr>
      <w:hyperlink r:id="rId24" w:history="1">
        <w:r w:rsidR="00A8392A">
          <w:rPr>
            <w:rStyle w:val="Hyperlink"/>
          </w:rPr>
          <w:t>Antitrust Guidelines for Collaborations Among Competitors</w:t>
        </w:r>
      </w:hyperlink>
      <w:r w:rsidR="00A8392A">
        <w:t xml:space="preserve">, April 2000 – DOJ and FTC’s jointly issued guidelines intended to explain how the agencies analyze certain antitrust issues raised by collaborations among competitors. </w:t>
      </w:r>
    </w:p>
    <w:p w:rsidR="006D749A" w:rsidRDefault="00A8392A">
      <w:pPr>
        <w:pStyle w:val="BodyText"/>
        <w:rPr>
          <w:b/>
          <w:u w:val="single"/>
        </w:rPr>
      </w:pPr>
      <w:r>
        <w:rPr>
          <w:b/>
          <w:u w:val="single"/>
        </w:rPr>
        <w:t>DOJ/FTC – Health Care Antitrust</w:t>
      </w:r>
    </w:p>
    <w:p w:rsidR="006D749A" w:rsidRDefault="002573AA" w:rsidP="00C2684D">
      <w:pPr>
        <w:pStyle w:val="BodyText"/>
        <w:ind w:left="288"/>
      </w:pPr>
      <w:hyperlink r:id="rId25" w:history="1">
        <w:r w:rsidR="00A8392A">
          <w:rPr>
            <w:rStyle w:val="Hyperlink"/>
          </w:rPr>
          <w:t>Health Care Competition – Mergers and Competition</w:t>
        </w:r>
      </w:hyperlink>
      <w:r w:rsidR="00A8392A">
        <w:t xml:space="preserve"> – Overview of Health Care Mergers and Competition and related FTC and DOJ Press Releases from 2010-2018, Public Events and the event materials, Reports, Public Statements, and Videos. </w:t>
      </w:r>
    </w:p>
    <w:p w:rsidR="00C2684D" w:rsidRDefault="002573AA" w:rsidP="00C2684D">
      <w:pPr>
        <w:pStyle w:val="BodyText"/>
        <w:ind w:left="288"/>
      </w:pPr>
      <w:hyperlink r:id="rId26" w:history="1">
        <w:r w:rsidR="00A8392A">
          <w:rPr>
            <w:rStyle w:val="Hyperlink"/>
          </w:rPr>
          <w:t>Competition in the Health Care Marketplace</w:t>
        </w:r>
      </w:hyperlink>
      <w:r w:rsidR="00A8392A">
        <w:t xml:space="preserve"> – Overview of the FTC’s role in preventing anticompetitive conduct in the health care industry, and related links to core health care competition documents health care initiatives, cases, press releases, blog posts, public events and statements, advisory opinions, reports, advocacy filings, amicus briefs, public comments, testimony and business education – some of which are included below or included under the DOJ links. </w:t>
      </w:r>
    </w:p>
    <w:p w:rsidR="00C2684D" w:rsidRDefault="002573AA" w:rsidP="00C2684D">
      <w:pPr>
        <w:pStyle w:val="BodyText"/>
        <w:numPr>
          <w:ilvl w:val="0"/>
          <w:numId w:val="17"/>
        </w:numPr>
      </w:pPr>
      <w:hyperlink r:id="rId27" w:history="1">
        <w:r w:rsidR="00A8392A">
          <w:rPr>
            <w:rStyle w:val="Hyperlink"/>
          </w:rPr>
          <w:t>Overview of FTC Actions in Health Care Services and Products</w:t>
        </w:r>
      </w:hyperlink>
      <w:r w:rsidR="00A8392A">
        <w:t xml:space="preserve">, September 2017 – Information on the conduct involving health care antitrust issues, mergers of health care providers and suppliers, state action defenses, industry guidance, and amicus briefs involving health care services and products. </w:t>
      </w:r>
    </w:p>
    <w:p w:rsidR="00C2684D" w:rsidRDefault="002573AA" w:rsidP="00C2684D">
      <w:pPr>
        <w:pStyle w:val="BodyText"/>
        <w:numPr>
          <w:ilvl w:val="0"/>
          <w:numId w:val="17"/>
        </w:numPr>
      </w:pPr>
      <w:hyperlink r:id="rId28" w:history="1">
        <w:r w:rsidR="00A8392A">
          <w:rPr>
            <w:rStyle w:val="Hyperlink"/>
          </w:rPr>
          <w:t>Overview of FTC Actions in Pharmaceutical Products and Distribution</w:t>
        </w:r>
      </w:hyperlink>
      <w:r w:rsidR="00A8392A">
        <w:t>, September 2017 – Information on the conduct involving pharmaceutical antitrust issues, mergers involving pharmaceutical products and distribution, industry guidance, and amicus briefs involving pharmaceutical products and distribution.</w:t>
      </w:r>
    </w:p>
    <w:p w:rsidR="006D749A" w:rsidRDefault="002573AA" w:rsidP="00C2684D">
      <w:pPr>
        <w:pStyle w:val="BodyText"/>
        <w:numPr>
          <w:ilvl w:val="0"/>
          <w:numId w:val="17"/>
        </w:numPr>
      </w:pPr>
      <w:hyperlink r:id="rId29" w:history="1">
        <w:r w:rsidR="00A8392A">
          <w:rPr>
            <w:rStyle w:val="Hyperlink"/>
          </w:rPr>
          <w:t>Topic and Yearly Indices of Health Care Antitrust Advisory Opinions by Commission and by Staff</w:t>
        </w:r>
      </w:hyperlink>
      <w:r w:rsidR="00A8392A">
        <w:t xml:space="preserve">, September 2017 – Information on advisory opinions related to network and hospital joint ventures, joint purchasing agreements, participation in exchanges, providers’ collective provision of fee and non-fee related information, professional society activities, Robinson-Patman Act, and other agreement related issues. </w:t>
      </w:r>
    </w:p>
    <w:p w:rsidR="006D749A" w:rsidRDefault="00A8392A">
      <w:pPr>
        <w:pStyle w:val="BodyText"/>
        <w:rPr>
          <w:b/>
          <w:u w:val="single"/>
        </w:rPr>
      </w:pPr>
      <w:r>
        <w:rPr>
          <w:b/>
          <w:u w:val="single"/>
        </w:rPr>
        <w:t>Publications/Articles</w:t>
      </w:r>
    </w:p>
    <w:p w:rsidR="006D749A" w:rsidRDefault="002573AA" w:rsidP="00C2684D">
      <w:pPr>
        <w:pStyle w:val="BodyText"/>
        <w:ind w:left="288"/>
      </w:pPr>
      <w:hyperlink r:id="rId30" w:history="1">
        <w:r w:rsidR="00A8392A" w:rsidRPr="00C2684D">
          <w:rPr>
            <w:rStyle w:val="Hyperlink"/>
          </w:rPr>
          <w:t>Saint Luke’s Merger Documents</w:t>
        </w:r>
      </w:hyperlink>
      <w:r w:rsidR="00A8392A">
        <w:rPr>
          <w:u w:val="single"/>
        </w:rPr>
        <w:t>,</w:t>
      </w:r>
      <w:r w:rsidR="00A8392A" w:rsidRPr="00C2684D">
        <w:t xml:space="preserve"> May 2, 2017 – Case filings from the FTC/Idaho AG litigation challenging the hospital </w:t>
      </w:r>
      <w:r w:rsidR="00A8392A">
        <w:t>– physician group (Saltzer) merger.  Of particular note are the demonstrative exhibits for the governments’ expert, David Dranove, outlining the economic case against the merger dated October 2 and 21, 2013.</w:t>
      </w:r>
    </w:p>
    <w:p w:rsidR="006D749A" w:rsidRDefault="002573AA" w:rsidP="00C2684D">
      <w:pPr>
        <w:ind w:left="288"/>
      </w:pPr>
      <w:hyperlink r:id="rId31" w:history="1">
        <w:r w:rsidR="00A8392A" w:rsidRPr="00C2684D">
          <w:rPr>
            <w:rStyle w:val="Hyperlink"/>
          </w:rPr>
          <w:t>U.S. House Committee Report</w:t>
        </w:r>
      </w:hyperlink>
      <w:r w:rsidR="00A8392A">
        <w:t>, “Examining the Impact of Health Care Consolidation” – hearing on Feb. 14, 2018</w:t>
      </w:r>
    </w:p>
    <w:p w:rsidR="006D749A" w:rsidRDefault="002573AA" w:rsidP="00C2684D">
      <w:pPr>
        <w:ind w:left="288"/>
      </w:pPr>
      <w:hyperlink r:id="rId32" w:history="1">
        <w:r w:rsidR="00A8392A" w:rsidRPr="00C2684D">
          <w:rPr>
            <w:rStyle w:val="Hyperlink"/>
          </w:rPr>
          <w:t>California v. Sutter Health</w:t>
        </w:r>
      </w:hyperlink>
      <w:r w:rsidR="00A8392A">
        <w:t>, No. CGC-18-565398 (San Francisco Super. Ct. filed Mar. 29, 2018).</w:t>
      </w:r>
    </w:p>
    <w:p w:rsidR="0047775D" w:rsidRDefault="0047775D" w:rsidP="00C2684D">
      <w:pPr>
        <w:ind w:left="288"/>
      </w:pPr>
      <w:r>
        <w:t xml:space="preserve">“Competition as Policy Reform:  The Use of Vigorous Antitrust Enforcement, Market-Governance Rules, and Incentives in Health Care,  Emilio Varanini, St. Louis University School of Law Journal of Health Law &amp; Policy, Vol. 11:69, 2017. (Not yet available online.) </w:t>
      </w:r>
    </w:p>
    <w:p w:rsidR="006D749A" w:rsidRDefault="002573AA">
      <w:pPr>
        <w:pStyle w:val="BodyText"/>
        <w:ind w:left="288"/>
      </w:pPr>
      <w:hyperlink r:id="rId33" w:history="1">
        <w:r w:rsidR="00A8392A">
          <w:rPr>
            <w:rStyle w:val="Hyperlink"/>
          </w:rPr>
          <w:t>Antitrust Enforcement in Imperfect Health Care Markets: A State Perspective</w:t>
        </w:r>
      </w:hyperlink>
      <w:r w:rsidR="00A8392A">
        <w:rPr>
          <w:rStyle w:val="Hyperlink"/>
          <w:u w:val="none"/>
        </w:rPr>
        <w:t xml:space="preserve">, </w:t>
      </w:r>
      <w:r w:rsidR="00A8392A">
        <w:rPr>
          <w:rStyle w:val="Hyperlink"/>
          <w:color w:val="auto"/>
          <w:u w:val="none"/>
        </w:rPr>
        <w:t>February 19, 1998</w:t>
      </w:r>
      <w:r w:rsidR="00A8392A">
        <w:t xml:space="preserve"> – This was written and presented by Kevin J. O’Connor. Not much has changed in 20 years.</w:t>
      </w:r>
    </w:p>
    <w:p w:rsidR="006D749A" w:rsidRDefault="002573AA">
      <w:pPr>
        <w:pStyle w:val="BodyText"/>
        <w:ind w:left="288"/>
      </w:pPr>
      <w:hyperlink r:id="rId34" w:history="1">
        <w:r w:rsidR="00A8392A">
          <w:rPr>
            <w:rStyle w:val="Hyperlink"/>
          </w:rPr>
          <w:t xml:space="preserve">Modern Healthcare Articles on Antitrust </w:t>
        </w:r>
      </w:hyperlink>
      <w:r w:rsidR="00A8392A">
        <w:t xml:space="preserve">– List of articles focused on antitrust issues in health care.  </w:t>
      </w:r>
    </w:p>
    <w:p w:rsidR="006D749A" w:rsidRDefault="002573AA">
      <w:pPr>
        <w:pStyle w:val="BodyText"/>
        <w:ind w:left="288"/>
      </w:pPr>
      <w:hyperlink r:id="rId35" w:history="1">
        <w:r w:rsidR="00A8392A">
          <w:rPr>
            <w:rStyle w:val="Hyperlink"/>
          </w:rPr>
          <w:t>Presidential Transition Report: The State of Antitrust Enforcement</w:t>
        </w:r>
      </w:hyperlink>
      <w:r w:rsidR="00A8392A">
        <w:t xml:space="preserve">, January 2017 – Discusses the Section of Antitrust Law of the ABA’s views on the current state of federal antitrust and consumer protection enforcement and discusses industry specific issues, such as that of the health care industry. </w:t>
      </w:r>
    </w:p>
    <w:p w:rsidR="006D749A" w:rsidRDefault="002573AA">
      <w:pPr>
        <w:pStyle w:val="BodyText"/>
        <w:ind w:left="288"/>
      </w:pPr>
      <w:hyperlink r:id="rId36" w:history="1">
        <w:r w:rsidR="00A8392A">
          <w:rPr>
            <w:rStyle w:val="Hyperlink"/>
          </w:rPr>
          <w:t>Workshop Transcript: Examining Healthcare Competition</w:t>
        </w:r>
      </w:hyperlink>
      <w:r w:rsidR="00A8392A">
        <w:t xml:space="preserve"> and </w:t>
      </w:r>
      <w:hyperlink r:id="rId37" w:history="1">
        <w:r w:rsidR="00A8392A">
          <w:rPr>
            <w:rStyle w:val="Hyperlink"/>
          </w:rPr>
          <w:t>Event Materials</w:t>
        </w:r>
      </w:hyperlink>
      <w:r w:rsidR="00A8392A">
        <w:t xml:space="preserve"> – Event hosted by the FTC and DOJ on February 24, 2015. </w:t>
      </w:r>
    </w:p>
    <w:p w:rsidR="006D749A" w:rsidRDefault="006D749A">
      <w:pPr>
        <w:pStyle w:val="BodyText"/>
      </w:pPr>
    </w:p>
    <w:p w:rsidR="006D749A" w:rsidRDefault="006D749A">
      <w:pPr>
        <w:pStyle w:val="BodyText"/>
      </w:pPr>
    </w:p>
    <w:p w:rsidR="006D749A" w:rsidRDefault="006D749A">
      <w:pPr>
        <w:pStyle w:val="BodyText"/>
      </w:pPr>
    </w:p>
    <w:bookmarkStart w:id="1" w:name="_iDocIDField_EOD"/>
    <w:p w:rsidR="004A357F" w:rsidRDefault="004A357F">
      <w:pPr>
        <w:pStyle w:val="DocID"/>
      </w:pPr>
      <w:r>
        <w:fldChar w:fldCharType="begin"/>
      </w:r>
      <w:r>
        <w:instrText xml:space="preserve">  DOCPROPERTY "CUS_DocIDChunk0" </w:instrText>
      </w:r>
      <w:r>
        <w:fldChar w:fldCharType="separate"/>
      </w:r>
      <w:r>
        <w:t>18738582.1</w:t>
      </w:r>
      <w:r>
        <w:fldChar w:fldCharType="end"/>
      </w:r>
      <w:bookmarkEnd w:id="1"/>
    </w:p>
    <w:sectPr w:rsidR="004A357F">
      <w:footerReference w:type="default" r:id="rId38"/>
      <w:footerReference w:type="first" r:id="rId39"/>
      <w:pgSz w:w="12240" w:h="15840" w:code="1"/>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fci wne:fciName="ApplyHeading1" wne:swArg="0000"/>
    </wne:keymap>
    <wne:keymap wne:kcmPrimary="0632">
      <wne:acd wne:acdName="acd0"/>
    </wne:keymap>
    <wne:keymap wne:kcmPrimary="0633">
      <wne:acd wne:acdName="acd1"/>
    </wne:keymap>
    <wne:keymap wne:kcmPrimary="0634">
      <wne:acd wne:acdName="acd2"/>
    </wne:keymap>
    <wne:keymap wne:kcmPrimary="0635">
      <wne:acd wne:acdName="acd3"/>
    </wne:keymap>
    <wne:keymap wne:kcmPrimary="0636">
      <wne:acd wne:acdName="acd4"/>
    </wne:keymap>
    <wne:keymap wne:kcmPrimary="0637">
      <wne:acd wne:acdName="acd5"/>
    </wne:keymap>
    <wne:keymap wne:kcmPrimary="0638">
      <wne:acd wne:acdName="acd6"/>
    </wne:keymap>
    <wne:keymap wne:kcmPrimary="0639">
      <wne:acd wne:acdName="acd7"/>
    </wne:keymap>
    <wne:keymap wne:kcmPrimary="0642">
      <wne:acd wne:acdName="acd9"/>
    </wne:keymap>
    <wne:keymap wne:kcmPrimary="0651">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s>
  <wne:acds>
    <wne:acd wne:argValue="AQAAAAIA" wne:acdName="acd0" wne:fciIndexBasedOn="0065"/>
    <wne:acd wne:argValue="AQAAAAMA" wne:acdName="acd1" wne:fciIndexBasedOn="0065"/>
    <wne:acd wne:argValue="AQAAAAQA" wne:acdName="acd2" wne:fciIndexBasedOn="0065"/>
    <wne:acd wne:argValue="AQAAAAUA" wne:acdName="acd3" wne:fciIndexBasedOn="0065"/>
    <wne:acd wne:argValue="AQAAAAYA" wne:acdName="acd4" wne:fciIndexBasedOn="0065"/>
    <wne:acd wne:argValue="AQAAAAcA" wne:acdName="acd5" wne:fciIndexBasedOn="0065"/>
    <wne:acd wne:argValue="AQAAAAgA" wne:acdName="acd6" wne:fciIndexBasedOn="0065"/>
    <wne:acd wne:argValue="AQAAAAkA" wne:acdName="acd7" wne:fciIndexBasedOn="0065"/>
    <wne:acd wne:argValue="AQAAALQA" wne:acdName="acd8" wne:fciIndexBasedOn="0065"/>
    <wne:acd wne:argValue="AQAAAEIA" wne:acdName="acd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3AA" w:rsidRDefault="002573AA">
      <w:pPr>
        <w:spacing w:after="0"/>
      </w:pPr>
      <w:r>
        <w:separator/>
      </w:r>
    </w:p>
  </w:endnote>
  <w:endnote w:type="continuationSeparator" w:id="0">
    <w:p w:rsidR="002573AA" w:rsidRDefault="002573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209085"/>
      <w:docPartObj>
        <w:docPartGallery w:val="Page Numbers (Top of Page)"/>
        <w:docPartUnique/>
      </w:docPartObj>
    </w:sdtPr>
    <w:sdtEndPr/>
    <w:sdtContent>
      <w:p w:rsidR="006D749A" w:rsidRDefault="00A8392A">
        <w:pPr>
          <w:pStyle w:val="Header"/>
          <w:jc w:val="right"/>
        </w:pPr>
        <w:r>
          <w:t xml:space="preserve">Page </w:t>
        </w:r>
        <w:r>
          <w:rPr>
            <w:b/>
            <w:bCs/>
          </w:rPr>
          <w:fldChar w:fldCharType="begin"/>
        </w:r>
        <w:r>
          <w:rPr>
            <w:b/>
            <w:bCs/>
          </w:rPr>
          <w:instrText xml:space="preserve"> PAGE </w:instrText>
        </w:r>
        <w:r>
          <w:rPr>
            <w:b/>
            <w:bCs/>
          </w:rPr>
          <w:fldChar w:fldCharType="separate"/>
        </w:r>
        <w:r w:rsidR="004C2940">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4C2940">
          <w:rPr>
            <w:b/>
            <w:bCs/>
            <w:noProof/>
          </w:rPr>
          <w:t>3</w:t>
        </w:r>
        <w:r>
          <w:rPr>
            <w:b/>
            <w:bCs/>
          </w:rPr>
          <w:fldChar w:fldCharType="end"/>
        </w:r>
      </w:p>
    </w:sdtContent>
  </w:sdt>
  <w:p w:rsidR="006D749A" w:rsidRDefault="006D749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9556711"/>
      <w:docPartObj>
        <w:docPartGallery w:val="Page Numbers (Bottom of Page)"/>
        <w:docPartUnique/>
      </w:docPartObj>
    </w:sdtPr>
    <w:sdtEndPr/>
    <w:sdtContent>
      <w:sdt>
        <w:sdtPr>
          <w:id w:val="98381352"/>
          <w:docPartObj>
            <w:docPartGallery w:val="Page Numbers (Top of Page)"/>
            <w:docPartUnique/>
          </w:docPartObj>
        </w:sdtPr>
        <w:sdtEndPr/>
        <w:sdtContent>
          <w:p w:rsidR="006D749A" w:rsidRDefault="00A8392A">
            <w:pPr>
              <w:pStyle w:val="Footer"/>
              <w:jc w:val="right"/>
            </w:pPr>
            <w:r>
              <w:t xml:space="preserve">Page </w:t>
            </w:r>
            <w:r>
              <w:rPr>
                <w:b/>
                <w:bCs/>
              </w:rPr>
              <w:fldChar w:fldCharType="begin"/>
            </w:r>
            <w:r>
              <w:rPr>
                <w:b/>
                <w:bCs/>
              </w:rPr>
              <w:instrText xml:space="preserve"> PAGE </w:instrText>
            </w:r>
            <w:r>
              <w:rPr>
                <w:b/>
                <w:bCs/>
              </w:rPr>
              <w:fldChar w:fldCharType="separate"/>
            </w:r>
            <w:r w:rsidR="004C2940">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4C2940">
              <w:rPr>
                <w:b/>
                <w:bCs/>
                <w:noProof/>
              </w:rPr>
              <w:t>3</w:t>
            </w:r>
            <w:r>
              <w:rPr>
                <w:b/>
                <w:bCs/>
              </w:rPr>
              <w:fldChar w:fldCharType="end"/>
            </w:r>
          </w:p>
        </w:sdtContent>
      </w:sdt>
    </w:sdtContent>
  </w:sdt>
  <w:p w:rsidR="006D749A" w:rsidRDefault="006D7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3AA" w:rsidRDefault="002573AA">
      <w:pPr>
        <w:spacing w:after="0"/>
      </w:pPr>
      <w:r>
        <w:separator/>
      </w:r>
    </w:p>
  </w:footnote>
  <w:footnote w:type="continuationSeparator" w:id="0">
    <w:p w:rsidR="002573AA" w:rsidRDefault="002573AA">
      <w:pPr>
        <w:spacing w:after="0"/>
      </w:pPr>
      <w:r>
        <w:continuationSeparator/>
      </w:r>
    </w:p>
  </w:footnote>
  <w:footnote w:type="continuationNotice" w:id="1">
    <w:p w:rsidR="002573AA" w:rsidRDefault="002573AA">
      <w:pPr>
        <w:spacing w:after="0"/>
        <w:jc w:val="right"/>
        <w:rPr>
          <w:i/>
        </w:rPr>
      </w:pPr>
      <w:r>
        <w:rPr>
          <w:i/>
        </w:rPr>
        <w:t>footnote continued on next page…</w:t>
      </w:r>
    </w:p>
  </w:footnote>
  <w:footnote w:id="2">
    <w:p w:rsidR="006D749A" w:rsidRDefault="00A8392A">
      <w:pPr>
        <w:pStyle w:val="FootnoteText"/>
      </w:pPr>
      <w:r>
        <w:rPr>
          <w:rStyle w:val="FootnoteReference"/>
        </w:rPr>
        <w:footnoteRef/>
      </w:r>
      <w:r>
        <w:t xml:space="preserve"> To access the resource, click on the hyperlink. Some browsers may require pressing “Ctrl” and clicking simultaneously to access the link.  </w:t>
      </w:r>
      <w:r w:rsidR="008B5498">
        <w:t xml:space="preserve">Also, if emailing this document you must take the affirmative step of telling your email server not to manage the attachment metadata or the links will not work.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EE0A83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960807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39859B8"/>
    <w:lvl w:ilvl="0">
      <w:start w:val="1"/>
      <w:numFmt w:val="decimal"/>
      <w:pStyle w:val="ListNumber3"/>
      <w:lvlText w:val="%1."/>
      <w:lvlJc w:val="left"/>
      <w:pPr>
        <w:tabs>
          <w:tab w:val="num" w:pos="1800"/>
        </w:tabs>
        <w:ind w:left="1800" w:hanging="360"/>
      </w:pPr>
      <w:rPr>
        <w:rFonts w:hint="default"/>
      </w:rPr>
    </w:lvl>
  </w:abstractNum>
  <w:abstractNum w:abstractNumId="3" w15:restartNumberingAfterBreak="0">
    <w:nsid w:val="FFFFFF7F"/>
    <w:multiLevelType w:val="singleLevel"/>
    <w:tmpl w:val="57442A64"/>
    <w:lvl w:ilvl="0">
      <w:start w:val="1"/>
      <w:numFmt w:val="decimal"/>
      <w:pStyle w:val="ListNumber2"/>
      <w:lvlText w:val="%1."/>
      <w:lvlJc w:val="left"/>
      <w:pPr>
        <w:tabs>
          <w:tab w:val="num" w:pos="1440"/>
        </w:tabs>
        <w:ind w:left="1440" w:hanging="360"/>
      </w:pPr>
      <w:rPr>
        <w:rFonts w:hint="default"/>
      </w:rPr>
    </w:lvl>
  </w:abstractNum>
  <w:abstractNum w:abstractNumId="4" w15:restartNumberingAfterBreak="0">
    <w:nsid w:val="FFFFFF80"/>
    <w:multiLevelType w:val="singleLevel"/>
    <w:tmpl w:val="B3960C1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3B8C5D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B87A02"/>
    <w:lvl w:ilvl="0">
      <w:start w:val="1"/>
      <w:numFmt w:val="bullet"/>
      <w:pStyle w:val="ListBullet3"/>
      <w:lvlText w:val=""/>
      <w:lvlJc w:val="left"/>
      <w:pPr>
        <w:tabs>
          <w:tab w:val="num" w:pos="1800"/>
        </w:tabs>
        <w:ind w:left="1800" w:hanging="360"/>
      </w:pPr>
      <w:rPr>
        <w:rFonts w:ascii="Symbol" w:hAnsi="Symbol" w:hint="default"/>
      </w:rPr>
    </w:lvl>
  </w:abstractNum>
  <w:abstractNum w:abstractNumId="7" w15:restartNumberingAfterBreak="0">
    <w:nsid w:val="FFFFFF83"/>
    <w:multiLevelType w:val="singleLevel"/>
    <w:tmpl w:val="52D89C34"/>
    <w:lvl w:ilvl="0">
      <w:start w:val="1"/>
      <w:numFmt w:val="bullet"/>
      <w:pStyle w:val="ListBullet2"/>
      <w:lvlText w:val=""/>
      <w:lvlJc w:val="left"/>
      <w:pPr>
        <w:tabs>
          <w:tab w:val="num" w:pos="1440"/>
        </w:tabs>
        <w:ind w:left="1440" w:hanging="360"/>
      </w:pPr>
      <w:rPr>
        <w:rFonts w:ascii="Symbol" w:hAnsi="Symbol" w:hint="default"/>
      </w:rPr>
    </w:lvl>
  </w:abstractNum>
  <w:abstractNum w:abstractNumId="8" w15:restartNumberingAfterBreak="0">
    <w:nsid w:val="FFFFFF88"/>
    <w:multiLevelType w:val="singleLevel"/>
    <w:tmpl w:val="B79A30C6"/>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6D7A7A76"/>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03516C4E"/>
    <w:multiLevelType w:val="hybridMultilevel"/>
    <w:tmpl w:val="854C4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753654"/>
    <w:multiLevelType w:val="multilevel"/>
    <w:tmpl w:val="664E1746"/>
    <w:lvl w:ilvl="0">
      <w:start w:val="1"/>
      <w:numFmt w:val="decimal"/>
      <w:lvlRestart w:val="0"/>
      <w:pStyle w:val="GeneralNumbering1"/>
      <w:lvlText w:val="%1."/>
      <w:lvlJc w:val="left"/>
      <w:pPr>
        <w:tabs>
          <w:tab w:val="num" w:pos="720"/>
        </w:tabs>
        <w:ind w:left="720" w:hanging="720"/>
      </w:pPr>
    </w:lvl>
    <w:lvl w:ilvl="1">
      <w:start w:val="1"/>
      <w:numFmt w:val="lowerLetter"/>
      <w:pStyle w:val="GeneralNumbering2"/>
      <w:lvlText w:val="%2."/>
      <w:lvlJc w:val="left"/>
      <w:pPr>
        <w:tabs>
          <w:tab w:val="num" w:pos="1440"/>
        </w:tabs>
        <w:ind w:left="1440" w:hanging="720"/>
      </w:pPr>
    </w:lvl>
    <w:lvl w:ilvl="2">
      <w:start w:val="1"/>
      <w:numFmt w:val="lowerRoman"/>
      <w:pStyle w:val="GeneralNumbering3"/>
      <w:lvlText w:val="%3."/>
      <w:lvlJc w:val="left"/>
      <w:pPr>
        <w:tabs>
          <w:tab w:val="num" w:pos="2160"/>
        </w:tabs>
        <w:ind w:left="2160" w:hanging="720"/>
      </w:pPr>
    </w:lvl>
    <w:lvl w:ilvl="3">
      <w:start w:val="1"/>
      <w:numFmt w:val="decimal"/>
      <w:pStyle w:val="GeneralNumbering4"/>
      <w:lvlText w:val="%4)"/>
      <w:lvlJc w:val="left"/>
      <w:pPr>
        <w:tabs>
          <w:tab w:val="num" w:pos="2880"/>
        </w:tabs>
        <w:ind w:left="2880" w:hanging="720"/>
      </w:pPr>
    </w:lvl>
    <w:lvl w:ilvl="4">
      <w:start w:val="1"/>
      <w:numFmt w:val="lowerLetter"/>
      <w:pStyle w:val="GeneralNumbering5"/>
      <w:lvlText w:val="%5)"/>
      <w:lvlJc w:val="left"/>
      <w:pPr>
        <w:tabs>
          <w:tab w:val="num" w:pos="3600"/>
        </w:tabs>
        <w:ind w:left="3600" w:hanging="720"/>
      </w:pPr>
    </w:lvl>
    <w:lvl w:ilvl="5">
      <w:start w:val="1"/>
      <w:numFmt w:val="lowerRoman"/>
      <w:lvlRestart w:val="0"/>
      <w:pStyle w:val="GeneralNumbering6"/>
      <w:lvlText w:val="(%6)"/>
      <w:lvlJc w:val="left"/>
      <w:pPr>
        <w:tabs>
          <w:tab w:val="num" w:pos="4320"/>
        </w:tabs>
        <w:ind w:left="4320" w:hanging="720"/>
      </w:pPr>
    </w:lvl>
    <w:lvl w:ilvl="6">
      <w:start w:val="1"/>
      <w:numFmt w:val="bullet"/>
      <w:pStyle w:val="GeneralNumbering7"/>
      <w:lvlText w:val=""/>
      <w:lvlJc w:val="left"/>
      <w:pPr>
        <w:tabs>
          <w:tab w:val="num" w:pos="1440"/>
        </w:tabs>
        <w:ind w:left="1440" w:hanging="720"/>
      </w:pPr>
      <w:rPr>
        <w:rFonts w:ascii="Symbol" w:hAnsi="Symbol" w:hint="default"/>
      </w:rPr>
    </w:lvl>
    <w:lvl w:ilvl="7">
      <w:start w:val="1"/>
      <w:numFmt w:val="upperLetter"/>
      <w:pStyle w:val="GeneralNumbering8"/>
      <w:lvlText w:val="%8."/>
      <w:lvlJc w:val="left"/>
      <w:pPr>
        <w:tabs>
          <w:tab w:val="num" w:pos="2160"/>
        </w:tabs>
        <w:ind w:left="2160" w:hanging="720"/>
      </w:pPr>
    </w:lvl>
    <w:lvl w:ilvl="8">
      <w:start w:val="1"/>
      <w:numFmt w:val="decimal"/>
      <w:pStyle w:val="GeneralNumbering9"/>
      <w:lvlText w:val="%9."/>
      <w:lvlJc w:val="left"/>
      <w:pPr>
        <w:tabs>
          <w:tab w:val="num" w:pos="2880"/>
        </w:tabs>
        <w:ind w:left="2880" w:hanging="720"/>
      </w:pPr>
    </w:lvl>
  </w:abstractNum>
  <w:abstractNum w:abstractNumId="12" w15:restartNumberingAfterBreak="0">
    <w:nsid w:val="16F62000"/>
    <w:multiLevelType w:val="hybridMultilevel"/>
    <w:tmpl w:val="CAC0E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723D97"/>
    <w:multiLevelType w:val="hybridMultilevel"/>
    <w:tmpl w:val="36244C8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36F460A2"/>
    <w:multiLevelType w:val="multilevel"/>
    <w:tmpl w:val="B3FC6610"/>
    <w:name w:val="General Numbering (1a)"/>
    <w:lvl w:ilvl="0">
      <w:start w:val="1"/>
      <w:numFmt w:val="decimal"/>
      <w:lvlText w:val="%1."/>
      <w:lvlJc w:val="left"/>
      <w:pPr>
        <w:tabs>
          <w:tab w:val="num" w:pos="1440"/>
        </w:tabs>
        <w:ind w:left="1440" w:hanging="720"/>
      </w:pPr>
      <w:rPr>
        <w:caps w:val="0"/>
        <w:color w:val="000000"/>
        <w:u w:val="none"/>
      </w:rPr>
    </w:lvl>
    <w:lvl w:ilvl="1">
      <w:start w:val="1"/>
      <w:numFmt w:val="lowerLetter"/>
      <w:lvlText w:val="(%2)"/>
      <w:lvlJc w:val="left"/>
      <w:pPr>
        <w:tabs>
          <w:tab w:val="num" w:pos="2160"/>
        </w:tabs>
        <w:ind w:left="2160" w:hanging="720"/>
      </w:pPr>
      <w:rPr>
        <w:caps w:val="0"/>
        <w:color w:val="000000"/>
        <w:u w:val="none"/>
      </w:rPr>
    </w:lvl>
    <w:lvl w:ilvl="2">
      <w:start w:val="1"/>
      <w:numFmt w:val="lowerRoman"/>
      <w:lvlText w:val="(%3)"/>
      <w:lvlJc w:val="left"/>
      <w:pPr>
        <w:tabs>
          <w:tab w:val="num" w:pos="2880"/>
        </w:tabs>
        <w:ind w:left="2880" w:hanging="720"/>
      </w:pPr>
      <w:rPr>
        <w:caps w:val="0"/>
        <w:color w:val="000000"/>
        <w:u w:val="none"/>
      </w:rPr>
    </w:lvl>
    <w:lvl w:ilvl="3">
      <w:start w:val="1"/>
      <w:numFmt w:val="decimal"/>
      <w:lvlText w:val="(%4)"/>
      <w:lvlJc w:val="left"/>
      <w:pPr>
        <w:tabs>
          <w:tab w:val="num" w:pos="3600"/>
        </w:tabs>
        <w:ind w:left="3600" w:hanging="720"/>
      </w:pPr>
      <w:rPr>
        <w:caps w:val="0"/>
        <w:color w:val="000000"/>
        <w:u w:val="none"/>
      </w:rPr>
    </w:lvl>
    <w:lvl w:ilvl="4">
      <w:start w:val="1"/>
      <w:numFmt w:val="lowerLetter"/>
      <w:lvlText w:val="%5."/>
      <w:lvlJc w:val="left"/>
      <w:pPr>
        <w:tabs>
          <w:tab w:val="num" w:pos="4320"/>
        </w:tabs>
        <w:ind w:left="4320" w:hanging="720"/>
      </w:pPr>
      <w:rPr>
        <w:caps w:val="0"/>
        <w:color w:val="000000"/>
        <w:u w:val="none"/>
      </w:rPr>
    </w:lvl>
    <w:lvl w:ilvl="5">
      <w:start w:val="1"/>
      <w:numFmt w:val="lowerRoman"/>
      <w:lvlText w:val="%6."/>
      <w:lvlJc w:val="left"/>
      <w:pPr>
        <w:tabs>
          <w:tab w:val="num" w:pos="5040"/>
        </w:tabs>
        <w:ind w:left="5040" w:hanging="720"/>
      </w:pPr>
      <w:rPr>
        <w:caps w:val="0"/>
        <w:color w:val="000000"/>
        <w:u w:val="none"/>
      </w:rPr>
    </w:lvl>
    <w:lvl w:ilvl="6">
      <w:start w:val="1"/>
      <w:numFmt w:val="decimal"/>
      <w:lvlText w:val="%7)"/>
      <w:lvlJc w:val="left"/>
      <w:pPr>
        <w:tabs>
          <w:tab w:val="num" w:pos="5760"/>
        </w:tabs>
        <w:ind w:left="5760" w:hanging="720"/>
      </w:pPr>
      <w:rPr>
        <w:caps w:val="0"/>
        <w:color w:val="000000"/>
        <w:u w:val="none"/>
      </w:rPr>
    </w:lvl>
    <w:lvl w:ilvl="7">
      <w:start w:val="1"/>
      <w:numFmt w:val="lowerLetter"/>
      <w:lvlText w:val="%8)"/>
      <w:lvlJc w:val="left"/>
      <w:pPr>
        <w:tabs>
          <w:tab w:val="num" w:pos="6480"/>
        </w:tabs>
        <w:ind w:left="6480" w:hanging="720"/>
      </w:pPr>
      <w:rPr>
        <w:caps w:val="0"/>
        <w:color w:val="000000"/>
        <w:u w:val="none"/>
      </w:rPr>
    </w:lvl>
    <w:lvl w:ilvl="8">
      <w:start w:val="1"/>
      <w:numFmt w:val="lowerRoman"/>
      <w:lvlText w:val="%9)"/>
      <w:lvlJc w:val="left"/>
      <w:pPr>
        <w:tabs>
          <w:tab w:val="num" w:pos="7200"/>
        </w:tabs>
        <w:ind w:left="7200" w:hanging="720"/>
      </w:pPr>
      <w:rPr>
        <w:caps w:val="0"/>
        <w:color w:val="000000"/>
        <w:u w:val="none"/>
      </w:rPr>
    </w:lvl>
  </w:abstractNum>
  <w:abstractNum w:abstractNumId="15" w15:restartNumberingAfterBreak="0">
    <w:nsid w:val="44FE05BC"/>
    <w:multiLevelType w:val="hybridMultilevel"/>
    <w:tmpl w:val="6636B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122C6F"/>
    <w:multiLevelType w:val="multilevel"/>
    <w:tmpl w:val="F3CA1EAE"/>
    <w:name w:val="G&amp;K Transaction Outline"/>
    <w:lvl w:ilvl="0">
      <w:start w:val="1"/>
      <w:numFmt w:val="upperRoman"/>
      <w:lvlText w:val="%1."/>
      <w:lvlJc w:val="left"/>
      <w:pPr>
        <w:tabs>
          <w:tab w:val="num" w:pos="1440"/>
        </w:tabs>
        <w:ind w:left="0" w:firstLine="720"/>
      </w:pPr>
      <w:rPr>
        <w:caps w:val="0"/>
        <w:color w:val="000000"/>
        <w:u w:val="none"/>
      </w:rPr>
    </w:lvl>
    <w:lvl w:ilvl="1">
      <w:start w:val="1"/>
      <w:numFmt w:val="upperLetter"/>
      <w:lvlText w:val="%2."/>
      <w:lvlJc w:val="left"/>
      <w:pPr>
        <w:tabs>
          <w:tab w:val="num" w:pos="2160"/>
        </w:tabs>
        <w:ind w:left="720" w:firstLine="720"/>
      </w:pPr>
      <w:rPr>
        <w:caps w:val="0"/>
        <w:color w:val="000000"/>
        <w:u w:val="none"/>
      </w:rPr>
    </w:lvl>
    <w:lvl w:ilvl="2">
      <w:start w:val="1"/>
      <w:numFmt w:val="decimal"/>
      <w:lvlText w:val="%3."/>
      <w:lvlJc w:val="left"/>
      <w:pPr>
        <w:tabs>
          <w:tab w:val="num" w:pos="2880"/>
        </w:tabs>
        <w:ind w:left="1440" w:firstLine="720"/>
      </w:pPr>
      <w:rPr>
        <w:caps w:val="0"/>
        <w:color w:val="000000"/>
        <w:u w:val="none"/>
      </w:rPr>
    </w:lvl>
    <w:lvl w:ilvl="3">
      <w:start w:val="1"/>
      <w:numFmt w:val="lowerLetter"/>
      <w:lvlText w:val="(%4)"/>
      <w:lvlJc w:val="left"/>
      <w:pPr>
        <w:tabs>
          <w:tab w:val="num" w:pos="3600"/>
        </w:tabs>
        <w:ind w:left="2160" w:firstLine="720"/>
      </w:pPr>
      <w:rPr>
        <w:caps w:val="0"/>
        <w:color w:val="000000"/>
        <w:u w:val="none"/>
      </w:rPr>
    </w:lvl>
    <w:lvl w:ilvl="4">
      <w:start w:val="1"/>
      <w:numFmt w:val="lowerRoman"/>
      <w:lvlText w:val="(%5)"/>
      <w:lvlJc w:val="left"/>
      <w:pPr>
        <w:tabs>
          <w:tab w:val="num" w:pos="4320"/>
        </w:tabs>
        <w:ind w:left="2880" w:firstLine="720"/>
      </w:pPr>
      <w:rPr>
        <w:caps w:val="0"/>
        <w:color w:val="000000"/>
        <w:u w:val="none"/>
      </w:rPr>
    </w:lvl>
    <w:lvl w:ilvl="5">
      <w:start w:val="1"/>
      <w:numFmt w:val="decimal"/>
      <w:lvlText w:val="(%6)"/>
      <w:lvlJc w:val="left"/>
      <w:pPr>
        <w:tabs>
          <w:tab w:val="num" w:pos="5040"/>
        </w:tabs>
        <w:ind w:left="3600" w:firstLine="720"/>
      </w:pPr>
      <w:rPr>
        <w:caps w:val="0"/>
        <w:color w:val="000000"/>
        <w:u w:val="none"/>
      </w:rPr>
    </w:lvl>
    <w:lvl w:ilvl="6">
      <w:start w:val="1"/>
      <w:numFmt w:val="decimal"/>
      <w:lvlText w:val="%7."/>
      <w:lvlJc w:val="left"/>
      <w:pPr>
        <w:tabs>
          <w:tab w:val="num" w:pos="5760"/>
        </w:tabs>
        <w:ind w:left="4320" w:firstLine="720"/>
      </w:pPr>
      <w:rPr>
        <w:caps w:val="0"/>
        <w:color w:val="000000"/>
        <w:u w:val="none"/>
      </w:rPr>
    </w:lvl>
    <w:lvl w:ilvl="7">
      <w:start w:val="1"/>
      <w:numFmt w:val="lowerRoman"/>
      <w:lvlText w:val="%8."/>
      <w:lvlJc w:val="left"/>
      <w:pPr>
        <w:tabs>
          <w:tab w:val="num" w:pos="6480"/>
        </w:tabs>
        <w:ind w:left="5040" w:firstLine="720"/>
      </w:pPr>
      <w:rPr>
        <w:caps w:val="0"/>
        <w:color w:val="000000"/>
        <w:u w:val="none"/>
      </w:rPr>
    </w:lvl>
    <w:lvl w:ilvl="8">
      <w:start w:val="1"/>
      <w:numFmt w:val="decimal"/>
      <w:lvlText w:val="(%9)"/>
      <w:lvlJc w:val="left"/>
      <w:pPr>
        <w:tabs>
          <w:tab w:val="num" w:pos="7200"/>
        </w:tabs>
        <w:ind w:left="5760" w:firstLine="720"/>
      </w:pPr>
      <w:rPr>
        <w:caps w:val="0"/>
        <w:color w:val="000000"/>
        <w:u w:val="none"/>
      </w:rPr>
    </w:lvl>
  </w:abstractNum>
  <w:abstractNum w:abstractNumId="17" w15:restartNumberingAfterBreak="0">
    <w:nsid w:val="65327644"/>
    <w:multiLevelType w:val="multilevel"/>
    <w:tmpl w:val="B7EA3BBE"/>
    <w:lvl w:ilvl="0">
      <w:start w:val="1"/>
      <w:numFmt w:val="decimal"/>
      <w:pStyle w:val="Heading1"/>
      <w:lvlText w:val="%1."/>
      <w:lvlJc w:val="left"/>
      <w:pPr>
        <w:tabs>
          <w:tab w:val="num" w:pos="720"/>
        </w:tabs>
        <w:ind w:left="720" w:hanging="720"/>
      </w:pPr>
      <w:rPr>
        <w:rFonts w:cs="Times New Roman" w:hint="default"/>
        <w:vanish w:val="0"/>
        <w:u w:val="none"/>
      </w:rPr>
    </w:lvl>
    <w:lvl w:ilvl="1">
      <w:start w:val="1"/>
      <w:numFmt w:val="lowerLetter"/>
      <w:pStyle w:val="Heading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Heading3"/>
      <w:lvlText w:val="(%3.)"/>
      <w:lvlJc w:val="left"/>
      <w:pPr>
        <w:tabs>
          <w:tab w:val="num" w:pos="2160"/>
        </w:tabs>
        <w:ind w:left="2160" w:hanging="720"/>
      </w:pPr>
      <w:rPr>
        <w:rFonts w:cs="Times New Roman" w:hint="default"/>
        <w:b w:val="0"/>
        <w:i w:val="0"/>
        <w:vanish w:val="0"/>
        <w:u w:val="none"/>
      </w:rPr>
    </w:lvl>
    <w:lvl w:ilvl="3">
      <w:start w:val="1"/>
      <w:numFmt w:val="decimal"/>
      <w:pStyle w:val="Heading4"/>
      <w:lvlText w:val="(%4)"/>
      <w:lvlJc w:val="left"/>
      <w:pPr>
        <w:tabs>
          <w:tab w:val="num" w:pos="2880"/>
        </w:tabs>
        <w:ind w:left="2880" w:hanging="720"/>
      </w:pPr>
      <w:rPr>
        <w:rFonts w:cs="Times New Roman" w:hint="default"/>
        <w:b w:val="0"/>
        <w:i w:val="0"/>
        <w:vanish w:val="0"/>
        <w:u w:val="none"/>
      </w:rPr>
    </w:lvl>
    <w:lvl w:ilvl="4">
      <w:start w:val="1"/>
      <w:numFmt w:val="lowerLetter"/>
      <w:pStyle w:val="Heading5"/>
      <w:lvlText w:val="%5"/>
      <w:lvlJc w:val="left"/>
      <w:pPr>
        <w:tabs>
          <w:tab w:val="num" w:pos="3600"/>
        </w:tabs>
        <w:ind w:left="3600" w:hanging="720"/>
      </w:pPr>
      <w:rPr>
        <w:rFonts w:cs="Times New Roman" w:hint="default"/>
        <w:vanish w:val="0"/>
        <w:u w:val="none"/>
      </w:rPr>
    </w:lvl>
    <w:lvl w:ilvl="5">
      <w:start w:val="1"/>
      <w:numFmt w:val="lowerRoman"/>
      <w:lvlRestart w:val="0"/>
      <w:pStyle w:val="Heading6"/>
      <w:lvlText w:val="%6"/>
      <w:lvlJc w:val="left"/>
      <w:pPr>
        <w:tabs>
          <w:tab w:val="num" w:pos="4320"/>
        </w:tabs>
        <w:ind w:left="4320" w:hanging="720"/>
      </w:pPr>
      <w:rPr>
        <w:rFonts w:cs="Times New Roman" w:hint="default"/>
        <w:vanish w:val="0"/>
        <w:u w:val="none"/>
      </w:rPr>
    </w:lvl>
    <w:lvl w:ilvl="6">
      <w:start w:val="1"/>
      <w:numFmt w:val="decimal"/>
      <w:pStyle w:val="Heading7"/>
      <w:lvlText w:val="%7)"/>
      <w:lvlJc w:val="left"/>
      <w:pPr>
        <w:tabs>
          <w:tab w:val="num" w:pos="5040"/>
        </w:tabs>
        <w:ind w:left="5040" w:hanging="720"/>
      </w:pPr>
      <w:rPr>
        <w:rFonts w:ascii="Times New Roman" w:hAnsi="Times New Roman" w:cs="Times New Roman" w:hint="default"/>
        <w:vanish w:val="0"/>
        <w:u w:val="none"/>
      </w:rPr>
    </w:lvl>
    <w:lvl w:ilvl="7">
      <w:start w:val="1"/>
      <w:numFmt w:val="lowerLetter"/>
      <w:pStyle w:val="Heading8"/>
      <w:lvlText w:val="%8)"/>
      <w:lvlJc w:val="left"/>
      <w:pPr>
        <w:tabs>
          <w:tab w:val="num" w:pos="5760"/>
        </w:tabs>
        <w:ind w:left="5760" w:hanging="720"/>
      </w:pPr>
      <w:rPr>
        <w:rFonts w:cs="Times New Roman" w:hint="default"/>
        <w:vanish w:val="0"/>
        <w:u w:val="none"/>
      </w:rPr>
    </w:lvl>
    <w:lvl w:ilvl="8">
      <w:start w:val="1"/>
      <w:numFmt w:val="lowerRoman"/>
      <w:pStyle w:val="Heading9"/>
      <w:lvlText w:val="%9)"/>
      <w:lvlJc w:val="left"/>
      <w:pPr>
        <w:tabs>
          <w:tab w:val="num" w:pos="6480"/>
        </w:tabs>
        <w:ind w:left="6480" w:hanging="720"/>
      </w:pPr>
      <w:rPr>
        <w:rFonts w:cs="Times New Roman" w:hint="default"/>
        <w:vanish w:val="0"/>
        <w:u w:val="none"/>
      </w:rPr>
    </w:lvl>
  </w:abstractNum>
  <w:abstractNum w:abstractNumId="18" w15:restartNumberingAfterBreak="0">
    <w:nsid w:val="79CF4354"/>
    <w:multiLevelType w:val="hybridMultilevel"/>
    <w:tmpl w:val="B5180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A1422F"/>
    <w:multiLevelType w:val="multilevel"/>
    <w:tmpl w:val="58CCE246"/>
    <w:name w:val="G&amp;K Agreement (1) Outline"/>
    <w:lvl w:ilvl="0">
      <w:start w:val="1"/>
      <w:numFmt w:val="upperRoman"/>
      <w:suff w:val="nothing"/>
      <w:lvlText w:val="Article %1"/>
      <w:lvlJc w:val="left"/>
      <w:pPr>
        <w:tabs>
          <w:tab w:val="num" w:pos="0"/>
        </w:tabs>
        <w:ind w:left="0" w:firstLine="0"/>
      </w:pPr>
      <w:rPr>
        <w:b/>
        <w:caps/>
        <w:smallCaps w:val="0"/>
        <w:color w:val="000000"/>
        <w:u w:val="none"/>
      </w:rPr>
    </w:lvl>
    <w:lvl w:ilvl="1">
      <w:start w:val="1"/>
      <w:numFmt w:val="decimal"/>
      <w:isLgl/>
      <w:lvlText w:val="%1.%2."/>
      <w:lvlJc w:val="left"/>
      <w:pPr>
        <w:tabs>
          <w:tab w:val="num" w:pos="1440"/>
        </w:tabs>
        <w:ind w:left="0" w:firstLine="720"/>
      </w:pPr>
      <w:rPr>
        <w:color w:val="000000"/>
        <w:u w:val="none"/>
      </w:rPr>
    </w:lvl>
    <w:lvl w:ilvl="2">
      <w:start w:val="1"/>
      <w:numFmt w:val="lowerLetter"/>
      <w:lvlText w:val="(%3)"/>
      <w:lvlJc w:val="left"/>
      <w:pPr>
        <w:tabs>
          <w:tab w:val="num" w:pos="2160"/>
        </w:tabs>
        <w:ind w:left="720" w:firstLine="720"/>
      </w:pPr>
      <w:rPr>
        <w:color w:val="000000"/>
        <w:u w:val="none"/>
      </w:rPr>
    </w:lvl>
    <w:lvl w:ilvl="3">
      <w:start w:val="1"/>
      <w:numFmt w:val="lowerRoman"/>
      <w:lvlText w:val="(%4)"/>
      <w:lvlJc w:val="left"/>
      <w:pPr>
        <w:tabs>
          <w:tab w:val="num" w:pos="2880"/>
        </w:tabs>
        <w:ind w:left="1440" w:firstLine="720"/>
      </w:pPr>
      <w:rPr>
        <w:color w:val="000000"/>
        <w:u w:val="none"/>
      </w:rPr>
    </w:lvl>
    <w:lvl w:ilvl="4">
      <w:start w:val="1"/>
      <w:numFmt w:val="decimal"/>
      <w:isLgl/>
      <w:lvlText w:val="%1.%2.%5."/>
      <w:lvlJc w:val="left"/>
      <w:pPr>
        <w:tabs>
          <w:tab w:val="num" w:pos="1440"/>
        </w:tabs>
        <w:ind w:left="0" w:firstLine="720"/>
      </w:pPr>
      <w:rPr>
        <w:color w:val="000000"/>
        <w:u w:val="none"/>
      </w:rPr>
    </w:lvl>
    <w:lvl w:ilvl="5">
      <w:start w:val="1"/>
      <w:numFmt w:val="lowerLetter"/>
      <w:lvlText w:val="(%6)"/>
      <w:lvlJc w:val="left"/>
      <w:pPr>
        <w:tabs>
          <w:tab w:val="num" w:pos="2160"/>
        </w:tabs>
        <w:ind w:left="720" w:firstLine="720"/>
      </w:pPr>
      <w:rPr>
        <w:color w:val="000000"/>
        <w:u w:val="none"/>
      </w:rPr>
    </w:lvl>
    <w:lvl w:ilvl="6">
      <w:start w:val="1"/>
      <w:numFmt w:val="lowerRoman"/>
      <w:lvlText w:val="(%7)"/>
      <w:lvlJc w:val="left"/>
      <w:pPr>
        <w:tabs>
          <w:tab w:val="num" w:pos="2880"/>
        </w:tabs>
        <w:ind w:left="1440" w:firstLine="720"/>
      </w:pPr>
      <w:rPr>
        <w:color w:val="000000"/>
        <w:u w:val="none"/>
      </w:rPr>
    </w:lvl>
    <w:lvl w:ilvl="7">
      <w:start w:val="1"/>
      <w:numFmt w:val="none"/>
      <w:lvlText w:val="-  "/>
      <w:lvlJc w:val="left"/>
      <w:pPr>
        <w:tabs>
          <w:tab w:val="num" w:pos="3600"/>
        </w:tabs>
        <w:ind w:left="2160" w:firstLine="720"/>
      </w:pPr>
      <w:rPr>
        <w:color w:val="000000"/>
        <w:u w:val="none"/>
      </w:rPr>
    </w:lvl>
    <w:lvl w:ilvl="8">
      <w:start w:val="1"/>
      <w:numFmt w:val="none"/>
      <w:suff w:val="nothing"/>
      <w:lvlText w:val="“Definitions” means "/>
      <w:lvlJc w:val="left"/>
      <w:pPr>
        <w:tabs>
          <w:tab w:val="num" w:pos="1440"/>
        </w:tabs>
        <w:ind w:left="0" w:firstLine="720"/>
      </w:pPr>
      <w:rPr>
        <w:color w:val="000000"/>
        <w:u w:val="none"/>
      </w:rPr>
    </w:lvl>
  </w:abstractNum>
  <w:abstractNum w:abstractNumId="20" w15:restartNumberingAfterBreak="0">
    <w:nsid w:val="7E3C14EC"/>
    <w:multiLevelType w:val="multilevel"/>
    <w:tmpl w:val="C69A8BC6"/>
    <w:name w:val="G&amp;K Agreement (2) Outline"/>
    <w:lvl w:ilvl="0">
      <w:start w:val="1"/>
      <w:numFmt w:val="decimal"/>
      <w:lvlText w:val="%1."/>
      <w:lvlJc w:val="left"/>
      <w:pPr>
        <w:tabs>
          <w:tab w:val="num" w:pos="1440"/>
        </w:tabs>
        <w:ind w:left="0" w:firstLine="720"/>
      </w:pPr>
      <w:rPr>
        <w:caps w:val="0"/>
        <w:color w:val="000000"/>
        <w:u w:val="none"/>
      </w:rPr>
    </w:lvl>
    <w:lvl w:ilvl="1">
      <w:start w:val="1"/>
      <w:numFmt w:val="lowerLetter"/>
      <w:lvlText w:val="(%2)"/>
      <w:lvlJc w:val="left"/>
      <w:pPr>
        <w:tabs>
          <w:tab w:val="num" w:pos="2160"/>
        </w:tabs>
        <w:ind w:left="720" w:firstLine="720"/>
      </w:pPr>
      <w:rPr>
        <w:caps w:val="0"/>
        <w:color w:val="000000"/>
        <w:u w:val="none"/>
      </w:rPr>
    </w:lvl>
    <w:lvl w:ilvl="2">
      <w:start w:val="1"/>
      <w:numFmt w:val="lowerRoman"/>
      <w:lvlText w:val="(%3)"/>
      <w:lvlJc w:val="left"/>
      <w:pPr>
        <w:tabs>
          <w:tab w:val="num" w:pos="2880"/>
        </w:tabs>
        <w:ind w:left="1440" w:firstLine="720"/>
      </w:pPr>
      <w:rPr>
        <w:caps w:val="0"/>
        <w:color w:val="000000"/>
        <w:u w:val="none"/>
      </w:rPr>
    </w:lvl>
    <w:lvl w:ilvl="3">
      <w:start w:val="1"/>
      <w:numFmt w:val="decimal"/>
      <w:lvlText w:val="(%4)"/>
      <w:lvlJc w:val="left"/>
      <w:pPr>
        <w:tabs>
          <w:tab w:val="num" w:pos="3600"/>
        </w:tabs>
        <w:ind w:left="2160" w:firstLine="720"/>
      </w:pPr>
      <w:rPr>
        <w:caps w:val="0"/>
        <w:color w:val="000000"/>
        <w:u w:val="none"/>
      </w:rPr>
    </w:lvl>
    <w:lvl w:ilvl="4">
      <w:start w:val="1"/>
      <w:numFmt w:val="lowerLetter"/>
      <w:lvlText w:val="%5."/>
      <w:lvlJc w:val="left"/>
      <w:pPr>
        <w:tabs>
          <w:tab w:val="num" w:pos="4320"/>
        </w:tabs>
        <w:ind w:left="2880" w:firstLine="720"/>
      </w:pPr>
      <w:rPr>
        <w:caps w:val="0"/>
        <w:color w:val="000000"/>
        <w:u w:val="none"/>
      </w:rPr>
    </w:lvl>
    <w:lvl w:ilvl="5">
      <w:start w:val="1"/>
      <w:numFmt w:val="lowerRoman"/>
      <w:lvlText w:val="%6."/>
      <w:lvlJc w:val="left"/>
      <w:pPr>
        <w:tabs>
          <w:tab w:val="num" w:pos="5040"/>
        </w:tabs>
        <w:ind w:left="3600" w:firstLine="720"/>
      </w:pPr>
      <w:rPr>
        <w:caps w:val="0"/>
        <w:color w:val="000000"/>
        <w:u w:val="none"/>
      </w:rPr>
    </w:lvl>
    <w:lvl w:ilvl="6">
      <w:start w:val="1"/>
      <w:numFmt w:val="decimal"/>
      <w:lvlText w:val="%7)"/>
      <w:lvlJc w:val="left"/>
      <w:pPr>
        <w:tabs>
          <w:tab w:val="num" w:pos="5760"/>
        </w:tabs>
        <w:ind w:left="4320" w:firstLine="720"/>
      </w:pPr>
      <w:rPr>
        <w:caps w:val="0"/>
        <w:color w:val="000000"/>
        <w:u w:val="none"/>
      </w:rPr>
    </w:lvl>
    <w:lvl w:ilvl="7">
      <w:start w:val="1"/>
      <w:numFmt w:val="lowerLetter"/>
      <w:lvlText w:val="%8)"/>
      <w:lvlJc w:val="left"/>
      <w:pPr>
        <w:tabs>
          <w:tab w:val="num" w:pos="6480"/>
        </w:tabs>
        <w:ind w:left="5040" w:firstLine="720"/>
      </w:pPr>
      <w:rPr>
        <w:caps w:val="0"/>
        <w:color w:val="000000"/>
        <w:u w:val="none"/>
      </w:rPr>
    </w:lvl>
    <w:lvl w:ilvl="8">
      <w:start w:val="1"/>
      <w:numFmt w:val="lowerRoman"/>
      <w:lvlText w:val="%9)"/>
      <w:lvlJc w:val="left"/>
      <w:pPr>
        <w:tabs>
          <w:tab w:val="num" w:pos="7200"/>
        </w:tabs>
        <w:ind w:left="5760" w:firstLine="720"/>
      </w:pPr>
      <w:rPr>
        <w:caps w:val="0"/>
        <w:color w:val="000000"/>
        <w:u w:val="none"/>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7"/>
  </w:num>
  <w:num w:numId="12">
    <w:abstractNumId w:val="11"/>
  </w:num>
  <w:num w:numId="13">
    <w:abstractNumId w:val="10"/>
  </w:num>
  <w:num w:numId="14">
    <w:abstractNumId w:val="15"/>
  </w:num>
  <w:num w:numId="15">
    <w:abstractNumId w:val="18"/>
  </w:num>
  <w:num w:numId="16">
    <w:abstractNumId w:val="12"/>
  </w:num>
  <w:num w:numId="17">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49A"/>
    <w:rsid w:val="0000145F"/>
    <w:rsid w:val="0020270D"/>
    <w:rsid w:val="002573AA"/>
    <w:rsid w:val="0047775D"/>
    <w:rsid w:val="00494BFE"/>
    <w:rsid w:val="004A357F"/>
    <w:rsid w:val="004C2940"/>
    <w:rsid w:val="006D749A"/>
    <w:rsid w:val="008B5498"/>
    <w:rsid w:val="00996346"/>
    <w:rsid w:val="00A8392A"/>
    <w:rsid w:val="00C2684D"/>
    <w:rsid w:val="00D7447D"/>
    <w:rsid w:val="00FF5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26AAAE-6457-4E19-814C-C1ED6B60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97"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4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7"/>
    <w:qFormat/>
    <w:rPr>
      <w:rFonts w:cs="Times New Roman"/>
    </w:rPr>
  </w:style>
  <w:style w:type="paragraph" w:styleId="Heading1">
    <w:name w:val="heading 1"/>
    <w:basedOn w:val="Heading"/>
    <w:link w:val="Heading1Char"/>
    <w:qFormat/>
    <w:pPr>
      <w:numPr>
        <w:numId w:val="11"/>
      </w:numPr>
      <w:spacing w:after="0"/>
      <w:outlineLvl w:val="0"/>
    </w:pPr>
    <w:rPr>
      <w:rFonts w:cs="Arial"/>
      <w:bCs/>
    </w:rPr>
  </w:style>
  <w:style w:type="paragraph" w:styleId="Heading2">
    <w:name w:val="heading 2"/>
    <w:basedOn w:val="Heading"/>
    <w:link w:val="Heading2Char"/>
    <w:qFormat/>
    <w:pPr>
      <w:keepNext w:val="0"/>
      <w:numPr>
        <w:ilvl w:val="1"/>
        <w:numId w:val="11"/>
      </w:numPr>
      <w:spacing w:after="0"/>
      <w:outlineLvl w:val="1"/>
    </w:pPr>
    <w:rPr>
      <w:rFonts w:cs="Arial"/>
      <w:bCs/>
      <w:iCs/>
    </w:rPr>
  </w:style>
  <w:style w:type="paragraph" w:styleId="Heading3">
    <w:name w:val="heading 3"/>
    <w:basedOn w:val="Heading"/>
    <w:link w:val="Heading3Char"/>
    <w:qFormat/>
    <w:pPr>
      <w:keepNext w:val="0"/>
      <w:numPr>
        <w:ilvl w:val="2"/>
        <w:numId w:val="11"/>
      </w:numPr>
      <w:spacing w:after="0"/>
      <w:outlineLvl w:val="2"/>
    </w:pPr>
    <w:rPr>
      <w:rFonts w:cs="Arial"/>
      <w:bCs/>
    </w:rPr>
  </w:style>
  <w:style w:type="paragraph" w:styleId="Heading4">
    <w:name w:val="heading 4"/>
    <w:basedOn w:val="Heading"/>
    <w:link w:val="Heading4Char"/>
    <w:qFormat/>
    <w:pPr>
      <w:keepNext w:val="0"/>
      <w:numPr>
        <w:ilvl w:val="3"/>
        <w:numId w:val="11"/>
      </w:numPr>
      <w:spacing w:after="0"/>
      <w:outlineLvl w:val="3"/>
    </w:pPr>
    <w:rPr>
      <w:bCs/>
    </w:rPr>
  </w:style>
  <w:style w:type="paragraph" w:styleId="Heading5">
    <w:name w:val="heading 5"/>
    <w:basedOn w:val="Heading"/>
    <w:link w:val="Heading5Char"/>
    <w:qFormat/>
    <w:pPr>
      <w:keepNext w:val="0"/>
      <w:numPr>
        <w:ilvl w:val="4"/>
        <w:numId w:val="11"/>
      </w:numPr>
      <w:spacing w:after="0"/>
      <w:outlineLvl w:val="4"/>
    </w:pPr>
    <w:rPr>
      <w:bCs/>
      <w:iCs/>
    </w:rPr>
  </w:style>
  <w:style w:type="paragraph" w:styleId="Heading6">
    <w:name w:val="heading 6"/>
    <w:basedOn w:val="Heading"/>
    <w:link w:val="Heading6Char"/>
    <w:qFormat/>
    <w:pPr>
      <w:keepNext w:val="0"/>
      <w:numPr>
        <w:ilvl w:val="5"/>
        <w:numId w:val="11"/>
      </w:numPr>
      <w:spacing w:after="0"/>
      <w:outlineLvl w:val="5"/>
    </w:pPr>
    <w:rPr>
      <w:bCs/>
    </w:rPr>
  </w:style>
  <w:style w:type="paragraph" w:styleId="Heading7">
    <w:name w:val="heading 7"/>
    <w:basedOn w:val="Heading"/>
    <w:link w:val="Heading7Char"/>
    <w:qFormat/>
    <w:pPr>
      <w:keepNext w:val="0"/>
      <w:numPr>
        <w:ilvl w:val="6"/>
        <w:numId w:val="11"/>
      </w:numPr>
      <w:spacing w:after="0"/>
      <w:outlineLvl w:val="6"/>
    </w:pPr>
  </w:style>
  <w:style w:type="paragraph" w:styleId="Heading8">
    <w:name w:val="heading 8"/>
    <w:basedOn w:val="Heading"/>
    <w:link w:val="Heading8Char"/>
    <w:qFormat/>
    <w:pPr>
      <w:keepNext w:val="0"/>
      <w:numPr>
        <w:ilvl w:val="7"/>
        <w:numId w:val="11"/>
      </w:numPr>
      <w:spacing w:after="0"/>
      <w:outlineLvl w:val="7"/>
    </w:pPr>
    <w:rPr>
      <w:iCs/>
    </w:rPr>
  </w:style>
  <w:style w:type="paragraph" w:styleId="Heading9">
    <w:name w:val="heading 9"/>
    <w:basedOn w:val="Heading"/>
    <w:link w:val="Heading9Char"/>
    <w:qFormat/>
    <w:pPr>
      <w:keepNext w:val="0"/>
      <w:numPr>
        <w:ilvl w:val="8"/>
        <w:numId w:val="11"/>
      </w:numPr>
      <w:spacing w:after="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qFormat/>
    <w:pPr>
      <w:ind w:left="1440" w:right="1440"/>
    </w:pPr>
    <w:rPr>
      <w:rFonts w:eastAsia="Times New Roman"/>
    </w:rPr>
  </w:style>
  <w:style w:type="paragraph" w:styleId="BodyText2">
    <w:name w:val="Body Text 2"/>
    <w:aliases w:val="Body 2"/>
    <w:basedOn w:val="Normal"/>
    <w:link w:val="BodyText2Char"/>
    <w:qFormat/>
    <w:pPr>
      <w:spacing w:after="0" w:line="480" w:lineRule="auto"/>
    </w:pPr>
    <w:rPr>
      <w:rFonts w:eastAsia="Times New Roman"/>
    </w:rPr>
  </w:style>
  <w:style w:type="character" w:customStyle="1" w:styleId="BodyText2Char">
    <w:name w:val="Body Text 2 Char"/>
    <w:aliases w:val="Body 2 Char"/>
    <w:basedOn w:val="DefaultParagraphFont"/>
    <w:link w:val="BodyText2"/>
    <w:rPr>
      <w:rFonts w:eastAsia="Times New Roman" w:cs="Times New Roman"/>
    </w:rPr>
  </w:style>
  <w:style w:type="paragraph" w:styleId="BodyText3">
    <w:name w:val="Body Text 3"/>
    <w:basedOn w:val="Normal"/>
    <w:link w:val="BodyText3Char"/>
    <w:uiPriority w:val="99"/>
    <w:unhideWhenUsed/>
    <w:pPr>
      <w:spacing w:line="360" w:lineRule="auto"/>
    </w:pPr>
    <w:rPr>
      <w:rFonts w:eastAsia="Times New Roman"/>
    </w:rPr>
  </w:style>
  <w:style w:type="character" w:customStyle="1" w:styleId="BodyText3Char">
    <w:name w:val="Body Text 3 Char"/>
    <w:link w:val="BodyText3"/>
    <w:uiPriority w:val="99"/>
    <w:rPr>
      <w:rFonts w:eastAsia="Times New Roman" w:cs="Times New Roman"/>
    </w:rPr>
  </w:style>
  <w:style w:type="paragraph" w:styleId="BodyTextIndent">
    <w:name w:val="Body Text Indent"/>
    <w:aliases w:val="Indent"/>
    <w:basedOn w:val="Normal"/>
    <w:link w:val="BodyTextIndentChar"/>
    <w:qFormat/>
    <w:pPr>
      <w:ind w:left="720"/>
    </w:pPr>
    <w:rPr>
      <w:rFonts w:eastAsia="Times New Roman"/>
    </w:rPr>
  </w:style>
  <w:style w:type="character" w:customStyle="1" w:styleId="BodyTextIndentChar">
    <w:name w:val="Body Text Indent Char"/>
    <w:aliases w:val="Indent Char"/>
    <w:link w:val="BodyTextIndent"/>
    <w:rPr>
      <w:rFonts w:eastAsia="Times New Roman" w:cs="Times New Roman"/>
    </w:rPr>
  </w:style>
  <w:style w:type="paragraph" w:styleId="BodyTextFirstIndent2">
    <w:name w:val="Body Text First Indent 2"/>
    <w:aliases w:val="1st Indent 2"/>
    <w:basedOn w:val="BodyTextIndent"/>
    <w:link w:val="BodyTextFirstIndent2Char"/>
    <w:qFormat/>
    <w:pPr>
      <w:spacing w:after="0" w:line="480" w:lineRule="auto"/>
      <w:ind w:left="0" w:firstLine="720"/>
    </w:pPr>
  </w:style>
  <w:style w:type="character" w:customStyle="1" w:styleId="BodyTextFirstIndent2Char">
    <w:name w:val="Body Text First Indent 2 Char"/>
    <w:aliases w:val="1st Indent 2 Char"/>
    <w:link w:val="BodyTextFirstIndent2"/>
    <w:rPr>
      <w:rFonts w:eastAsia="Times New Roman" w:cs="Times New Roman"/>
    </w:rPr>
  </w:style>
  <w:style w:type="paragraph" w:customStyle="1" w:styleId="BodyTextFirstIndent3">
    <w:name w:val="Body Text First Indent 3"/>
    <w:basedOn w:val="Normal"/>
    <w:uiPriority w:val="99"/>
    <w:unhideWhenUsed/>
    <w:pPr>
      <w:spacing w:line="360" w:lineRule="auto"/>
      <w:ind w:firstLine="720"/>
    </w:pPr>
    <w:rPr>
      <w:rFonts w:eastAsia="Times New Roman"/>
    </w:rPr>
  </w:style>
  <w:style w:type="paragraph" w:styleId="BodyText">
    <w:name w:val="Body Text"/>
    <w:aliases w:val="Body"/>
    <w:basedOn w:val="Normal"/>
    <w:link w:val="BodyTextChar"/>
    <w:qFormat/>
    <w:rPr>
      <w:rFonts w:eastAsia="Times New Roman"/>
    </w:rPr>
  </w:style>
  <w:style w:type="character" w:customStyle="1" w:styleId="BodyTextChar">
    <w:name w:val="Body Text Char"/>
    <w:aliases w:val="Body Char"/>
    <w:link w:val="BodyText"/>
    <w:rPr>
      <w:rFonts w:eastAsia="Times New Roman" w:cs="Times New Roman"/>
    </w:rPr>
  </w:style>
  <w:style w:type="paragraph" w:styleId="BodyTextFirstIndent">
    <w:name w:val="Body Text First Indent"/>
    <w:aliases w:val="1st Indent"/>
    <w:basedOn w:val="BodyText"/>
    <w:link w:val="BodyTextFirstIndentChar"/>
    <w:qFormat/>
    <w:pPr>
      <w:ind w:firstLine="720"/>
    </w:pPr>
  </w:style>
  <w:style w:type="character" w:customStyle="1" w:styleId="BodyTextFirstIndentChar">
    <w:name w:val="Body Text First Indent Char"/>
    <w:aliases w:val="1st Indent Char"/>
    <w:link w:val="BodyTextFirstIndent"/>
    <w:rPr>
      <w:rFonts w:eastAsia="Times New Roman" w:cs="Times New Roman"/>
    </w:rPr>
  </w:style>
  <w:style w:type="paragraph" w:styleId="BodyTextIndent2">
    <w:name w:val="Body Text Indent 2"/>
    <w:aliases w:val="Indent 2"/>
    <w:basedOn w:val="Normal"/>
    <w:link w:val="BodyTextIndent2Char"/>
    <w:qFormat/>
    <w:pPr>
      <w:spacing w:after="0" w:line="480" w:lineRule="auto"/>
      <w:ind w:left="720"/>
    </w:pPr>
    <w:rPr>
      <w:rFonts w:eastAsia="Times New Roman"/>
    </w:rPr>
  </w:style>
  <w:style w:type="character" w:customStyle="1" w:styleId="BodyTextIndent2Char">
    <w:name w:val="Body Text Indent 2 Char"/>
    <w:aliases w:val="Indent 2 Char"/>
    <w:basedOn w:val="DefaultParagraphFont"/>
    <w:link w:val="BodyTextIndent2"/>
    <w:rPr>
      <w:rFonts w:eastAsia="Times New Roman" w:cs="Times New Roman"/>
    </w:rPr>
  </w:style>
  <w:style w:type="paragraph" w:styleId="BodyTextIndent3">
    <w:name w:val="Body Text Indent 3"/>
    <w:basedOn w:val="Normal"/>
    <w:link w:val="BodyTextIndent3Char"/>
    <w:uiPriority w:val="99"/>
    <w:unhideWhenUsed/>
    <w:pPr>
      <w:spacing w:line="360" w:lineRule="auto"/>
      <w:ind w:left="720"/>
    </w:pPr>
    <w:rPr>
      <w:rFonts w:eastAsia="Times New Roman"/>
      <w:szCs w:val="16"/>
    </w:rPr>
  </w:style>
  <w:style w:type="character" w:customStyle="1" w:styleId="BodyTextIndent3Char">
    <w:name w:val="Body Text Indent 3 Char"/>
    <w:link w:val="BodyTextIndent3"/>
    <w:uiPriority w:val="99"/>
    <w:rPr>
      <w:rFonts w:eastAsia="Times New Roman" w:cs="Times New Roman"/>
      <w:szCs w:val="16"/>
    </w:rPr>
  </w:style>
  <w:style w:type="character" w:styleId="BookTitle">
    <w:name w:val="Book Title"/>
    <w:uiPriority w:val="99"/>
    <w:unhideWhenUsed/>
    <w:qFormat/>
    <w:rPr>
      <w:b/>
      <w:bCs/>
      <w:smallCaps/>
      <w:spacing w:val="5"/>
    </w:rPr>
  </w:style>
  <w:style w:type="paragraph" w:styleId="Caption">
    <w:name w:val="caption"/>
    <w:basedOn w:val="Normal"/>
    <w:next w:val="Normal"/>
    <w:uiPriority w:val="99"/>
    <w:semiHidden/>
    <w:qFormat/>
    <w:pPr>
      <w:spacing w:after="200"/>
    </w:pPr>
    <w:rPr>
      <w:rFonts w:eastAsia="Times New Roman"/>
      <w:b/>
      <w:bCs/>
      <w:color w:val="4F81BD"/>
      <w:sz w:val="18"/>
      <w:szCs w:val="18"/>
    </w:rPr>
  </w:style>
  <w:style w:type="paragraph" w:styleId="Closing">
    <w:name w:val="Closing"/>
    <w:basedOn w:val="Normal"/>
    <w:link w:val="ClosingChar"/>
    <w:uiPriority w:val="99"/>
    <w:unhideWhenUsed/>
    <w:pPr>
      <w:spacing w:after="0"/>
      <w:ind w:left="4320"/>
    </w:pPr>
    <w:rPr>
      <w:rFonts w:eastAsia="Times New Roman"/>
    </w:rPr>
  </w:style>
  <w:style w:type="character" w:customStyle="1" w:styleId="ClosingChar">
    <w:name w:val="Closing Char"/>
    <w:link w:val="Closing"/>
    <w:uiPriority w:val="99"/>
    <w:rPr>
      <w:rFonts w:eastAsia="Times New Roman" w:cs="Times New Roman"/>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rFonts w:eastAsia="Times New Roman"/>
      <w:sz w:val="20"/>
      <w:szCs w:val="20"/>
    </w:rPr>
  </w:style>
  <w:style w:type="character" w:customStyle="1" w:styleId="CommentTextChar">
    <w:name w:val="Comment Text Char"/>
    <w:link w:val="CommentText"/>
    <w:uiPriority w:val="99"/>
    <w:rPr>
      <w:rFonts w:eastAsia="Times New Roman" w:cs="Times New Roman"/>
      <w:sz w:val="20"/>
      <w:szCs w:val="20"/>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rPr>
      <w:rFonts w:eastAsia="Times New Roman" w:cs="Times New Roman"/>
      <w:b/>
      <w:bCs/>
      <w:sz w:val="20"/>
      <w:szCs w:val="20"/>
    </w:rPr>
  </w:style>
  <w:style w:type="paragraph" w:styleId="Date">
    <w:name w:val="Date"/>
    <w:basedOn w:val="Normal"/>
    <w:next w:val="Normal"/>
    <w:link w:val="DateChar"/>
    <w:uiPriority w:val="99"/>
    <w:unhideWhenUsed/>
    <w:rPr>
      <w:rFonts w:eastAsia="Times New Roman"/>
    </w:rPr>
  </w:style>
  <w:style w:type="character" w:customStyle="1" w:styleId="DateChar">
    <w:name w:val="Date Char"/>
    <w:link w:val="Date"/>
    <w:uiPriority w:val="99"/>
    <w:rPr>
      <w:rFonts w:eastAsia="Times New Roman" w:cs="Times New Roman"/>
    </w:rPr>
  </w:style>
  <w:style w:type="paragraph" w:styleId="DocumentMap">
    <w:name w:val="Document Map"/>
    <w:basedOn w:val="Normal"/>
    <w:link w:val="DocumentMapChar"/>
    <w:uiPriority w:val="99"/>
    <w:unhideWhenUsed/>
    <w:pPr>
      <w:spacing w:after="0"/>
    </w:pPr>
    <w:rPr>
      <w:rFonts w:ascii="Tahoma" w:eastAsia="Times New Roman" w:hAnsi="Tahoma" w:cs="Tahoma"/>
      <w:sz w:val="16"/>
      <w:szCs w:val="16"/>
    </w:rPr>
  </w:style>
  <w:style w:type="character" w:customStyle="1" w:styleId="DocumentMapChar">
    <w:name w:val="Document Map Char"/>
    <w:link w:val="DocumentMap"/>
    <w:uiPriority w:val="99"/>
    <w:rPr>
      <w:rFonts w:ascii="Tahoma" w:eastAsia="Times New Roman" w:hAnsi="Tahoma" w:cs="Tahoma"/>
      <w:sz w:val="16"/>
      <w:szCs w:val="16"/>
    </w:rPr>
  </w:style>
  <w:style w:type="paragraph" w:styleId="E-mailSignature">
    <w:name w:val="E-mail Signature"/>
    <w:basedOn w:val="Normal"/>
    <w:link w:val="E-mailSignatureChar"/>
    <w:uiPriority w:val="99"/>
    <w:unhideWhenUsed/>
    <w:pPr>
      <w:spacing w:after="0"/>
    </w:pPr>
    <w:rPr>
      <w:rFonts w:eastAsia="Times New Roman"/>
    </w:rPr>
  </w:style>
  <w:style w:type="character" w:customStyle="1" w:styleId="E-mailSignatureChar">
    <w:name w:val="E-mail Signature Char"/>
    <w:link w:val="E-mailSignature"/>
    <w:uiPriority w:val="99"/>
    <w:rPr>
      <w:rFonts w:eastAsia="Times New Roman" w:cs="Times New Roman"/>
    </w:rPr>
  </w:style>
  <w:style w:type="character" w:styleId="Emphasis">
    <w:name w:val="Emphasis"/>
    <w:aliases w:val="Italic"/>
    <w:qFormat/>
    <w:rPr>
      <w:i/>
      <w:iCs/>
    </w:rPr>
  </w:style>
  <w:style w:type="character" w:styleId="EndnoteReference">
    <w:name w:val="endnote reference"/>
    <w:uiPriority w:val="99"/>
    <w:unhideWhenUsed/>
    <w:rPr>
      <w:vertAlign w:val="superscript"/>
    </w:rPr>
  </w:style>
  <w:style w:type="paragraph" w:styleId="EndnoteText">
    <w:name w:val="endnote text"/>
    <w:basedOn w:val="Normal"/>
    <w:link w:val="EndnoteTextChar"/>
    <w:uiPriority w:val="99"/>
    <w:unhideWhenUsed/>
    <w:pPr>
      <w:spacing w:after="0"/>
    </w:pPr>
    <w:rPr>
      <w:rFonts w:eastAsia="Times New Roman"/>
      <w:sz w:val="20"/>
      <w:szCs w:val="20"/>
    </w:rPr>
  </w:style>
  <w:style w:type="character" w:customStyle="1" w:styleId="EndnoteTextChar">
    <w:name w:val="Endnote Text Char"/>
    <w:link w:val="EndnoteText"/>
    <w:uiPriority w:val="99"/>
    <w:rPr>
      <w:rFonts w:eastAsia="Times New Roman" w:cs="Times New Roman"/>
      <w:sz w:val="20"/>
      <w:szCs w:val="20"/>
    </w:rPr>
  </w:style>
  <w:style w:type="paragraph" w:styleId="EnvelopeAddress">
    <w:name w:val="envelope address"/>
    <w:basedOn w:val="Normal"/>
    <w:uiPriority w:val="99"/>
    <w:unhideWhenUsed/>
    <w:pPr>
      <w:framePr w:w="7920" w:h="1980" w:hRule="exact" w:hSpace="180" w:wrap="auto" w:hAnchor="page" w:xAlign="center" w:yAlign="bottom"/>
      <w:spacing w:after="0"/>
      <w:ind w:left="2880"/>
    </w:pPr>
    <w:rPr>
      <w:rFonts w:ascii="Cambria" w:eastAsia="Times New Roman" w:hAnsi="Cambria"/>
    </w:rPr>
  </w:style>
  <w:style w:type="paragraph" w:styleId="EnvelopeReturn">
    <w:name w:val="envelope return"/>
    <w:basedOn w:val="Normal"/>
    <w:uiPriority w:val="99"/>
    <w:unhideWhenUsed/>
    <w:pPr>
      <w:spacing w:after="0"/>
    </w:pPr>
    <w:rPr>
      <w:rFonts w:ascii="Cambria" w:eastAsia="Times New Roman" w:hAnsi="Cambria"/>
      <w:sz w:val="20"/>
      <w:szCs w:val="20"/>
    </w:rPr>
  </w:style>
  <w:style w:type="character" w:styleId="FollowedHyperlink">
    <w:name w:val="FollowedHyperlink"/>
    <w:uiPriority w:val="99"/>
    <w:unhideWhenUsed/>
    <w:rPr>
      <w:color w:val="800080"/>
      <w:u w:val="single"/>
    </w:rPr>
  </w:style>
  <w:style w:type="paragraph" w:styleId="Footer">
    <w:name w:val="footer"/>
    <w:basedOn w:val="Normal"/>
    <w:link w:val="FooterChar"/>
    <w:uiPriority w:val="99"/>
    <w:unhideWhenUsed/>
    <w:pPr>
      <w:tabs>
        <w:tab w:val="center" w:pos="4680"/>
        <w:tab w:val="right" w:pos="9360"/>
      </w:tabs>
    </w:pPr>
    <w:rPr>
      <w:rFonts w:eastAsia="Times New Roman"/>
    </w:rPr>
  </w:style>
  <w:style w:type="character" w:customStyle="1" w:styleId="FooterChar">
    <w:name w:val="Footer Char"/>
    <w:link w:val="Footer"/>
    <w:uiPriority w:val="99"/>
    <w:rPr>
      <w:rFonts w:eastAsia="Times New Roman" w:cs="Times New Roman"/>
    </w:rPr>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pPr>
      <w:spacing w:after="200"/>
    </w:pPr>
    <w:rPr>
      <w:rFonts w:eastAsia="Times New Roman"/>
      <w:sz w:val="20"/>
      <w:szCs w:val="20"/>
    </w:rPr>
  </w:style>
  <w:style w:type="character" w:customStyle="1" w:styleId="FootnoteTextChar">
    <w:name w:val="Footnote Text Char"/>
    <w:link w:val="FootnoteText"/>
    <w:uiPriority w:val="99"/>
    <w:rPr>
      <w:rFonts w:eastAsia="Times New Roman" w:cs="Times New Roman"/>
      <w:sz w:val="20"/>
      <w:szCs w:val="20"/>
    </w:rPr>
  </w:style>
  <w:style w:type="paragraph" w:styleId="Header">
    <w:name w:val="header"/>
    <w:basedOn w:val="Normal"/>
    <w:link w:val="HeaderChar"/>
    <w:uiPriority w:val="99"/>
    <w:unhideWhenUsed/>
    <w:pPr>
      <w:tabs>
        <w:tab w:val="center" w:pos="4680"/>
        <w:tab w:val="right" w:pos="9360"/>
      </w:tabs>
    </w:pPr>
    <w:rPr>
      <w:rFonts w:eastAsia="Times New Roman"/>
    </w:rPr>
  </w:style>
  <w:style w:type="character" w:customStyle="1" w:styleId="HeaderChar">
    <w:name w:val="Header Char"/>
    <w:link w:val="Header"/>
    <w:uiPriority w:val="99"/>
    <w:rPr>
      <w:rFonts w:eastAsia="Times New Roman" w:cs="Times New Roman"/>
    </w:rPr>
  </w:style>
  <w:style w:type="paragraph" w:styleId="Index1">
    <w:name w:val="index 1"/>
    <w:basedOn w:val="Normal"/>
    <w:next w:val="Normal"/>
    <w:autoRedefine/>
    <w:uiPriority w:val="49"/>
    <w:unhideWhenUsed/>
    <w:pPr>
      <w:spacing w:after="0"/>
      <w:ind w:left="220" w:hanging="220"/>
    </w:pPr>
    <w:rPr>
      <w:rFonts w:eastAsia="Times New Roman"/>
    </w:rPr>
  </w:style>
  <w:style w:type="paragraph" w:styleId="Index2">
    <w:name w:val="index 2"/>
    <w:basedOn w:val="Normal"/>
    <w:next w:val="Normal"/>
    <w:autoRedefine/>
    <w:uiPriority w:val="49"/>
    <w:unhideWhenUsed/>
    <w:pPr>
      <w:spacing w:after="0"/>
      <w:ind w:left="440" w:hanging="220"/>
    </w:pPr>
    <w:rPr>
      <w:rFonts w:eastAsia="Times New Roman"/>
    </w:rPr>
  </w:style>
  <w:style w:type="paragraph" w:styleId="Index3">
    <w:name w:val="index 3"/>
    <w:basedOn w:val="Normal"/>
    <w:next w:val="Normal"/>
    <w:autoRedefine/>
    <w:uiPriority w:val="49"/>
    <w:unhideWhenUsed/>
    <w:pPr>
      <w:spacing w:after="0"/>
      <w:ind w:left="660" w:hanging="220"/>
    </w:pPr>
    <w:rPr>
      <w:rFonts w:eastAsia="Times New Roman"/>
    </w:rPr>
  </w:style>
  <w:style w:type="paragraph" w:styleId="Index4">
    <w:name w:val="index 4"/>
    <w:basedOn w:val="Normal"/>
    <w:next w:val="Normal"/>
    <w:autoRedefine/>
    <w:uiPriority w:val="49"/>
    <w:unhideWhenUsed/>
    <w:pPr>
      <w:spacing w:after="0"/>
      <w:ind w:left="880" w:hanging="220"/>
    </w:pPr>
    <w:rPr>
      <w:rFonts w:eastAsia="Times New Roman"/>
    </w:rPr>
  </w:style>
  <w:style w:type="paragraph" w:styleId="Index5">
    <w:name w:val="index 5"/>
    <w:basedOn w:val="Normal"/>
    <w:next w:val="Normal"/>
    <w:autoRedefine/>
    <w:uiPriority w:val="49"/>
    <w:unhideWhenUsed/>
    <w:pPr>
      <w:spacing w:after="0"/>
      <w:ind w:left="1100" w:hanging="220"/>
    </w:pPr>
    <w:rPr>
      <w:rFonts w:eastAsia="Times New Roman"/>
    </w:rPr>
  </w:style>
  <w:style w:type="paragraph" w:styleId="Index6">
    <w:name w:val="index 6"/>
    <w:basedOn w:val="Normal"/>
    <w:next w:val="Normal"/>
    <w:autoRedefine/>
    <w:uiPriority w:val="49"/>
    <w:unhideWhenUsed/>
    <w:pPr>
      <w:spacing w:after="0"/>
      <w:ind w:left="1320" w:hanging="220"/>
    </w:pPr>
    <w:rPr>
      <w:rFonts w:eastAsia="Times New Roman"/>
    </w:rPr>
  </w:style>
  <w:style w:type="paragraph" w:styleId="Index7">
    <w:name w:val="index 7"/>
    <w:basedOn w:val="Normal"/>
    <w:next w:val="Normal"/>
    <w:autoRedefine/>
    <w:uiPriority w:val="49"/>
    <w:unhideWhenUsed/>
    <w:pPr>
      <w:spacing w:after="0"/>
      <w:ind w:left="1540" w:hanging="220"/>
    </w:pPr>
    <w:rPr>
      <w:rFonts w:eastAsia="Times New Roman"/>
    </w:rPr>
  </w:style>
  <w:style w:type="paragraph" w:styleId="Index8">
    <w:name w:val="index 8"/>
    <w:basedOn w:val="Normal"/>
    <w:next w:val="Normal"/>
    <w:autoRedefine/>
    <w:uiPriority w:val="49"/>
    <w:unhideWhenUsed/>
    <w:pPr>
      <w:spacing w:after="0"/>
      <w:ind w:left="1760" w:hanging="220"/>
    </w:pPr>
    <w:rPr>
      <w:rFonts w:eastAsia="Times New Roman"/>
    </w:rPr>
  </w:style>
  <w:style w:type="paragraph" w:styleId="Index9">
    <w:name w:val="index 9"/>
    <w:basedOn w:val="Normal"/>
    <w:next w:val="Normal"/>
    <w:autoRedefine/>
    <w:uiPriority w:val="49"/>
    <w:unhideWhenUsed/>
    <w:pPr>
      <w:spacing w:after="0"/>
      <w:ind w:left="1980" w:hanging="220"/>
    </w:pPr>
    <w:rPr>
      <w:rFonts w:eastAsia="Times New Roman"/>
    </w:rPr>
  </w:style>
  <w:style w:type="paragraph" w:styleId="IndexHeading">
    <w:name w:val="index heading"/>
    <w:basedOn w:val="Normal"/>
    <w:next w:val="Index1"/>
    <w:uiPriority w:val="49"/>
    <w:unhideWhenUsed/>
    <w:rPr>
      <w:rFonts w:ascii="Cambria" w:eastAsia="Times New Roman" w:hAnsi="Cambria"/>
      <w:b/>
      <w:bCs/>
    </w:rPr>
  </w:style>
  <w:style w:type="character" w:styleId="IntenseEmphasis">
    <w:name w:val="Intense Emphasis"/>
    <w:uiPriority w:val="99"/>
    <w:unhideWhenUsed/>
    <w:qFormat/>
    <w:rPr>
      <w:b/>
      <w:bCs/>
      <w:i/>
      <w:iCs/>
      <w:color w:val="4F81BD"/>
    </w:rPr>
  </w:style>
  <w:style w:type="paragraph" w:styleId="IntenseQuote">
    <w:name w:val="Intense Quote"/>
    <w:basedOn w:val="Normal"/>
    <w:next w:val="Normal"/>
    <w:link w:val="IntenseQuoteChar"/>
    <w:uiPriority w:val="99"/>
    <w:unhideWhenUsed/>
    <w:qFormat/>
    <w:pPr>
      <w:pBdr>
        <w:bottom w:val="single" w:sz="4" w:space="4" w:color="4F81BD"/>
      </w:pBdr>
      <w:spacing w:before="200" w:after="280"/>
      <w:ind w:left="936" w:right="936"/>
    </w:pPr>
    <w:rPr>
      <w:rFonts w:eastAsia="Times New Roman"/>
      <w:b/>
      <w:bCs/>
      <w:i/>
      <w:iCs/>
      <w:color w:val="4F81BD"/>
    </w:rPr>
  </w:style>
  <w:style w:type="character" w:customStyle="1" w:styleId="IntenseQuoteChar">
    <w:name w:val="Intense Quote Char"/>
    <w:link w:val="IntenseQuote"/>
    <w:uiPriority w:val="99"/>
    <w:rPr>
      <w:rFonts w:eastAsia="Times New Roman" w:cs="Times New Roman"/>
      <w:b/>
      <w:bCs/>
      <w:i/>
      <w:iCs/>
      <w:color w:val="4F81BD"/>
    </w:rPr>
  </w:style>
  <w:style w:type="character" w:styleId="IntenseReference">
    <w:name w:val="Intense Reference"/>
    <w:uiPriority w:val="99"/>
    <w:unhideWhenUsed/>
    <w:qFormat/>
    <w:rPr>
      <w:b/>
      <w:bCs/>
      <w:smallCaps/>
      <w:color w:val="C0504D"/>
      <w:spacing w:val="5"/>
      <w:u w:val="single"/>
    </w:rPr>
  </w:style>
  <w:style w:type="character" w:styleId="LineNumber">
    <w:name w:val="line number"/>
    <w:uiPriority w:val="99"/>
    <w:unhideWhenUsed/>
  </w:style>
  <w:style w:type="paragraph" w:styleId="ListParagraph">
    <w:name w:val="List Paragraph"/>
    <w:basedOn w:val="Normal"/>
    <w:uiPriority w:val="99"/>
    <w:unhideWhenUsed/>
    <w:qFormat/>
    <w:pPr>
      <w:ind w:left="720"/>
      <w:contextualSpacing/>
    </w:pPr>
    <w:rPr>
      <w:rFonts w:eastAsia="Times New Roman"/>
    </w:rPr>
  </w:style>
  <w:style w:type="paragraph" w:styleId="MacroText">
    <w:name w:val="macro"/>
    <w:link w:val="MacroTextChar"/>
    <w:uiPriority w:val="99"/>
    <w:unhideWhenUsed/>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cs="Consolas"/>
      <w:sz w:val="20"/>
      <w:szCs w:val="20"/>
    </w:rPr>
  </w:style>
  <w:style w:type="character" w:customStyle="1" w:styleId="MacroTextChar">
    <w:name w:val="Macro Text Char"/>
    <w:link w:val="MacroText"/>
    <w:uiPriority w:val="99"/>
    <w:rPr>
      <w:rFonts w:ascii="Consolas" w:eastAsia="Times New Roman" w:hAnsi="Consolas" w:cs="Consolas"/>
      <w:sz w:val="20"/>
      <w:szCs w:val="20"/>
    </w:rPr>
  </w:style>
  <w:style w:type="paragraph" w:styleId="Quote">
    <w:name w:val="Quote"/>
    <w:basedOn w:val="Normal"/>
    <w:next w:val="Normal"/>
    <w:link w:val="QuoteChar"/>
    <w:uiPriority w:val="99"/>
    <w:unhideWhenUsed/>
    <w:qFormat/>
    <w:rPr>
      <w:rFonts w:eastAsia="Times New Roman"/>
      <w:i/>
      <w:iCs/>
      <w:color w:val="000000"/>
    </w:rPr>
  </w:style>
  <w:style w:type="character" w:customStyle="1" w:styleId="QuoteChar">
    <w:name w:val="Quote Char"/>
    <w:link w:val="Quote"/>
    <w:uiPriority w:val="99"/>
    <w:rPr>
      <w:rFonts w:eastAsia="Times New Roman" w:cs="Times New Roman"/>
      <w:i/>
      <w:iCs/>
      <w:color w:val="000000"/>
    </w:rPr>
  </w:style>
  <w:style w:type="paragraph" w:styleId="Salutation">
    <w:name w:val="Salutation"/>
    <w:basedOn w:val="Normal"/>
    <w:next w:val="Normal"/>
    <w:link w:val="SalutationChar"/>
    <w:uiPriority w:val="99"/>
    <w:unhideWhenUsed/>
    <w:rPr>
      <w:rFonts w:eastAsia="Times New Roman"/>
    </w:rPr>
  </w:style>
  <w:style w:type="character" w:customStyle="1" w:styleId="SalutationChar">
    <w:name w:val="Salutation Char"/>
    <w:link w:val="Salutation"/>
    <w:uiPriority w:val="99"/>
    <w:rPr>
      <w:rFonts w:eastAsia="Times New Roman" w:cs="Times New Roman"/>
    </w:rPr>
  </w:style>
  <w:style w:type="paragraph" w:styleId="Signature">
    <w:name w:val="Signature"/>
    <w:basedOn w:val="Normal"/>
    <w:link w:val="SignatureChar"/>
    <w:qFormat/>
    <w:pPr>
      <w:tabs>
        <w:tab w:val="right" w:leader="underscore" w:pos="9360"/>
      </w:tabs>
      <w:spacing w:after="0"/>
      <w:ind w:left="4320"/>
    </w:pPr>
    <w:rPr>
      <w:rFonts w:eastAsia="Times New Roman"/>
    </w:rPr>
  </w:style>
  <w:style w:type="character" w:customStyle="1" w:styleId="SignatureChar">
    <w:name w:val="Signature Char"/>
    <w:link w:val="Signature"/>
    <w:rPr>
      <w:rFonts w:eastAsia="Times New Roman" w:cs="Times New Roman"/>
    </w:rPr>
  </w:style>
  <w:style w:type="character" w:styleId="Strong">
    <w:name w:val="Strong"/>
    <w:aliases w:val="Bold"/>
    <w:qFormat/>
    <w:rPr>
      <w:b/>
      <w:bCs/>
    </w:rPr>
  </w:style>
  <w:style w:type="paragraph" w:styleId="Subtitle">
    <w:name w:val="Subtitle"/>
    <w:basedOn w:val="Normal"/>
    <w:link w:val="SubtitleChar"/>
    <w:qFormat/>
    <w:pPr>
      <w:keepNext/>
      <w:jc w:val="center"/>
    </w:pPr>
    <w:rPr>
      <w:rFonts w:eastAsia="Times New Roman" w:cs="Arial"/>
    </w:rPr>
  </w:style>
  <w:style w:type="character" w:customStyle="1" w:styleId="SubtitleChar">
    <w:name w:val="Subtitle Char"/>
    <w:link w:val="Subtitle"/>
    <w:rPr>
      <w:rFonts w:eastAsia="Times New Roman" w:cs="Arial"/>
    </w:rPr>
  </w:style>
  <w:style w:type="character" w:styleId="SubtleEmphasis">
    <w:name w:val="Subtle Emphasis"/>
    <w:uiPriority w:val="99"/>
    <w:unhideWhenUsed/>
    <w:qFormat/>
    <w:rPr>
      <w:i/>
      <w:iCs/>
      <w:color w:val="808080"/>
    </w:rPr>
  </w:style>
  <w:style w:type="character" w:styleId="SubtleReference">
    <w:name w:val="Subtle Reference"/>
    <w:uiPriority w:val="99"/>
    <w:unhideWhenUsed/>
    <w:qFormat/>
    <w:rPr>
      <w:smallCaps/>
      <w:color w:val="C0504D"/>
      <w:u w:val="single"/>
    </w:rPr>
  </w:style>
  <w:style w:type="paragraph" w:styleId="Title">
    <w:name w:val="Title"/>
    <w:basedOn w:val="Normal"/>
    <w:link w:val="TitleChar"/>
    <w:qFormat/>
    <w:pPr>
      <w:keepNext/>
      <w:jc w:val="center"/>
    </w:pPr>
    <w:rPr>
      <w:rFonts w:eastAsia="Times New Roman" w:cs="Arial"/>
      <w:b/>
      <w:bCs/>
    </w:rPr>
  </w:style>
  <w:style w:type="character" w:customStyle="1" w:styleId="TitleChar">
    <w:name w:val="Title Char"/>
    <w:link w:val="Title"/>
    <w:rPr>
      <w:rFonts w:eastAsia="Times New Roman" w:cs="Arial"/>
      <w:b/>
      <w:bCs/>
    </w:rPr>
  </w:style>
  <w:style w:type="paragraph" w:customStyle="1" w:styleId="TitlewithUnderline">
    <w:name w:val="Title with Underline"/>
    <w:basedOn w:val="Title"/>
    <w:qFormat/>
    <w:rPr>
      <w:u w:val="single"/>
    </w:rPr>
  </w:style>
  <w:style w:type="paragraph" w:styleId="TOAHeading">
    <w:name w:val="toa heading"/>
    <w:basedOn w:val="Normal"/>
    <w:next w:val="Normal"/>
    <w:uiPriority w:val="99"/>
    <w:unhideWhenUsed/>
    <w:pPr>
      <w:spacing w:before="120"/>
    </w:pPr>
    <w:rPr>
      <w:rFonts w:eastAsia="Times New Roman"/>
      <w:b/>
      <w:bCs/>
    </w:rPr>
  </w:style>
  <w:style w:type="paragraph" w:styleId="TOC1">
    <w:name w:val="toc 1"/>
    <w:basedOn w:val="Normal"/>
    <w:next w:val="Normal"/>
    <w:autoRedefine/>
    <w:uiPriority w:val="39"/>
    <w:unhideWhenUsed/>
    <w:pPr>
      <w:spacing w:after="100"/>
    </w:pPr>
    <w:rPr>
      <w:rFonts w:eastAsia="Times New Roman"/>
    </w:rPr>
  </w:style>
  <w:style w:type="paragraph" w:styleId="TOC2">
    <w:name w:val="toc 2"/>
    <w:basedOn w:val="Normal"/>
    <w:next w:val="Normal"/>
    <w:autoRedefine/>
    <w:uiPriority w:val="39"/>
    <w:unhideWhenUsed/>
    <w:pPr>
      <w:spacing w:after="100"/>
      <w:ind w:left="220"/>
    </w:pPr>
    <w:rPr>
      <w:rFonts w:eastAsia="Times New Roman"/>
    </w:rPr>
  </w:style>
  <w:style w:type="paragraph" w:styleId="TOC3">
    <w:name w:val="toc 3"/>
    <w:basedOn w:val="Normal"/>
    <w:next w:val="Normal"/>
    <w:autoRedefine/>
    <w:uiPriority w:val="39"/>
    <w:unhideWhenUsed/>
    <w:pPr>
      <w:spacing w:after="100"/>
      <w:ind w:left="440"/>
    </w:pPr>
    <w:rPr>
      <w:rFonts w:eastAsia="Times New Roman"/>
    </w:rPr>
  </w:style>
  <w:style w:type="paragraph" w:styleId="TOC4">
    <w:name w:val="toc 4"/>
    <w:basedOn w:val="Normal"/>
    <w:next w:val="Normal"/>
    <w:autoRedefine/>
    <w:uiPriority w:val="39"/>
    <w:unhideWhenUsed/>
    <w:pPr>
      <w:spacing w:after="100"/>
      <w:ind w:left="660"/>
    </w:pPr>
    <w:rPr>
      <w:rFonts w:eastAsia="Times New Roman"/>
    </w:rPr>
  </w:style>
  <w:style w:type="paragraph" w:styleId="TOC5">
    <w:name w:val="toc 5"/>
    <w:basedOn w:val="Normal"/>
    <w:next w:val="Normal"/>
    <w:autoRedefine/>
    <w:uiPriority w:val="39"/>
    <w:unhideWhenUsed/>
    <w:pPr>
      <w:spacing w:after="100"/>
      <w:ind w:left="880"/>
    </w:pPr>
    <w:rPr>
      <w:rFonts w:eastAsia="Times New Roman"/>
    </w:rPr>
  </w:style>
  <w:style w:type="paragraph" w:styleId="TOC6">
    <w:name w:val="toc 6"/>
    <w:basedOn w:val="Normal"/>
    <w:next w:val="Normal"/>
    <w:autoRedefine/>
    <w:uiPriority w:val="39"/>
    <w:unhideWhenUsed/>
    <w:pPr>
      <w:spacing w:after="100"/>
      <w:ind w:left="1100"/>
    </w:pPr>
    <w:rPr>
      <w:rFonts w:eastAsia="Times New Roman"/>
    </w:rPr>
  </w:style>
  <w:style w:type="paragraph" w:styleId="TOC7">
    <w:name w:val="toc 7"/>
    <w:basedOn w:val="Normal"/>
    <w:next w:val="Normal"/>
    <w:autoRedefine/>
    <w:uiPriority w:val="39"/>
    <w:unhideWhenUsed/>
    <w:pPr>
      <w:spacing w:after="100"/>
      <w:ind w:left="1320"/>
    </w:pPr>
    <w:rPr>
      <w:rFonts w:eastAsia="Times New Roman"/>
    </w:rPr>
  </w:style>
  <w:style w:type="paragraph" w:styleId="TOC8">
    <w:name w:val="toc 8"/>
    <w:basedOn w:val="Normal"/>
    <w:next w:val="Normal"/>
    <w:autoRedefine/>
    <w:uiPriority w:val="39"/>
    <w:unhideWhenUsed/>
    <w:pPr>
      <w:spacing w:after="100"/>
      <w:ind w:left="1540"/>
    </w:pPr>
    <w:rPr>
      <w:rFonts w:eastAsia="Times New Roman"/>
    </w:rPr>
  </w:style>
  <w:style w:type="paragraph" w:styleId="TOC9">
    <w:name w:val="toc 9"/>
    <w:basedOn w:val="Normal"/>
    <w:next w:val="Normal"/>
    <w:autoRedefine/>
    <w:uiPriority w:val="39"/>
    <w:unhideWhenUsed/>
    <w:pPr>
      <w:spacing w:after="100"/>
      <w:ind w:left="1760"/>
    </w:pPr>
    <w:rPr>
      <w:rFonts w:eastAsia="Times New Roman"/>
    </w:rPr>
  </w:style>
  <w:style w:type="character" w:customStyle="1" w:styleId="Heading1Char">
    <w:name w:val="Heading 1 Char"/>
    <w:link w:val="Heading1"/>
    <w:rPr>
      <w:rFonts w:eastAsia="Times New Roman" w:cs="Arial"/>
      <w:bCs/>
      <w:kern w:val="24"/>
    </w:rPr>
  </w:style>
  <w:style w:type="paragraph" w:styleId="TOCHeading">
    <w:name w:val="TOC Heading"/>
    <w:basedOn w:val="Heading1"/>
    <w:next w:val="Normal"/>
    <w:uiPriority w:val="39"/>
    <w:semiHidden/>
    <w:unhideWhenUsed/>
    <w:qFormat/>
    <w:pPr>
      <w:numPr>
        <w:numId w:val="0"/>
      </w:numPr>
      <w:outlineLvl w:val="9"/>
    </w:pPr>
  </w:style>
  <w:style w:type="character" w:customStyle="1" w:styleId="Underline">
    <w:name w:val="Underline"/>
    <w:qFormat/>
    <w:rPr>
      <w:u w:val="single"/>
    </w:rPr>
  </w:style>
  <w:style w:type="character" w:customStyle="1" w:styleId="Heading2Char">
    <w:name w:val="Heading 2 Char"/>
    <w:link w:val="Heading2"/>
    <w:rPr>
      <w:rFonts w:eastAsia="Times New Roman" w:cs="Arial"/>
      <w:bCs/>
      <w:iCs/>
      <w:kern w:val="24"/>
    </w:rPr>
  </w:style>
  <w:style w:type="character" w:customStyle="1" w:styleId="Heading3Char">
    <w:name w:val="Heading 3 Char"/>
    <w:link w:val="Heading3"/>
    <w:rPr>
      <w:rFonts w:eastAsia="Times New Roman" w:cs="Arial"/>
      <w:bCs/>
      <w:kern w:val="24"/>
    </w:rPr>
  </w:style>
  <w:style w:type="character" w:customStyle="1" w:styleId="Heading4Char">
    <w:name w:val="Heading 4 Char"/>
    <w:link w:val="Heading4"/>
    <w:rPr>
      <w:rFonts w:eastAsia="Times New Roman" w:cs="Times New Roman"/>
      <w:bCs/>
      <w:kern w:val="24"/>
    </w:rPr>
  </w:style>
  <w:style w:type="character" w:customStyle="1" w:styleId="Heading5Char">
    <w:name w:val="Heading 5 Char"/>
    <w:link w:val="Heading5"/>
    <w:rPr>
      <w:rFonts w:eastAsia="Times New Roman" w:cs="Times New Roman"/>
      <w:bCs/>
      <w:iCs/>
      <w:kern w:val="24"/>
    </w:rPr>
  </w:style>
  <w:style w:type="character" w:customStyle="1" w:styleId="Heading6Char">
    <w:name w:val="Heading 6 Char"/>
    <w:link w:val="Heading6"/>
    <w:rPr>
      <w:rFonts w:eastAsia="Times New Roman" w:cs="Times New Roman"/>
      <w:bCs/>
      <w:kern w:val="24"/>
    </w:rPr>
  </w:style>
  <w:style w:type="character" w:customStyle="1" w:styleId="Heading7Char">
    <w:name w:val="Heading 7 Char"/>
    <w:link w:val="Heading7"/>
    <w:rPr>
      <w:rFonts w:eastAsia="Times New Roman" w:cs="Times New Roman"/>
      <w:kern w:val="24"/>
    </w:rPr>
  </w:style>
  <w:style w:type="character" w:customStyle="1" w:styleId="Heading8Char">
    <w:name w:val="Heading 8 Char"/>
    <w:link w:val="Heading8"/>
    <w:rPr>
      <w:rFonts w:eastAsia="Times New Roman" w:cs="Times New Roman"/>
      <w:iCs/>
      <w:kern w:val="24"/>
    </w:rPr>
  </w:style>
  <w:style w:type="character" w:customStyle="1" w:styleId="Heading9Char">
    <w:name w:val="Heading 9 Char"/>
    <w:link w:val="Heading9"/>
    <w:rPr>
      <w:rFonts w:eastAsia="Times New Roman" w:cs="Arial"/>
      <w:kern w:val="24"/>
    </w:rPr>
  </w:style>
  <w:style w:type="paragraph" w:styleId="ListBullet">
    <w:name w:val="List Bullet"/>
    <w:basedOn w:val="Normal"/>
    <w:qFormat/>
    <w:pPr>
      <w:numPr>
        <w:numId w:val="1"/>
      </w:numPr>
      <w:contextualSpacing/>
    </w:pPr>
    <w:rPr>
      <w:rFonts w:eastAsia="Times New Roman"/>
    </w:rPr>
  </w:style>
  <w:style w:type="paragraph" w:styleId="ListBullet2">
    <w:name w:val="List Bullet 2"/>
    <w:basedOn w:val="Normal"/>
    <w:pPr>
      <w:numPr>
        <w:numId w:val="3"/>
      </w:numPr>
      <w:contextualSpacing/>
    </w:pPr>
    <w:rPr>
      <w:rFonts w:eastAsia="Times New Roman"/>
    </w:rPr>
  </w:style>
  <w:style w:type="paragraph" w:styleId="ListBullet3">
    <w:name w:val="List Bullet 3"/>
    <w:basedOn w:val="Normal"/>
    <w:pPr>
      <w:numPr>
        <w:numId w:val="4"/>
      </w:numPr>
      <w:contextualSpacing/>
    </w:pPr>
    <w:rPr>
      <w:rFonts w:eastAsia="Times New Roman"/>
    </w:rPr>
  </w:style>
  <w:style w:type="paragraph" w:styleId="ListBullet4">
    <w:name w:val="List Bullet 4"/>
    <w:basedOn w:val="Normal"/>
    <w:pPr>
      <w:numPr>
        <w:numId w:val="5"/>
      </w:numPr>
      <w:contextualSpacing/>
    </w:pPr>
    <w:rPr>
      <w:rFonts w:eastAsia="Times New Roman"/>
    </w:rPr>
  </w:style>
  <w:style w:type="paragraph" w:styleId="ListBullet5">
    <w:name w:val="List Bullet 5"/>
    <w:basedOn w:val="Normal"/>
    <w:pPr>
      <w:numPr>
        <w:numId w:val="6"/>
      </w:numPr>
      <w:contextualSpacing/>
    </w:pPr>
    <w:rPr>
      <w:rFonts w:eastAsia="Times New Roman"/>
    </w:rPr>
  </w:style>
  <w:style w:type="paragraph" w:styleId="ListNumber">
    <w:name w:val="List Number"/>
    <w:basedOn w:val="Normal"/>
    <w:qFormat/>
    <w:pPr>
      <w:numPr>
        <w:numId w:val="2"/>
      </w:numPr>
      <w:contextualSpacing/>
    </w:pPr>
    <w:rPr>
      <w:rFonts w:eastAsia="Times New Roman"/>
    </w:rPr>
  </w:style>
  <w:style w:type="paragraph" w:styleId="ListNumber2">
    <w:name w:val="List Number 2"/>
    <w:basedOn w:val="Normal"/>
    <w:pPr>
      <w:numPr>
        <w:numId w:val="7"/>
      </w:numPr>
      <w:contextualSpacing/>
    </w:pPr>
    <w:rPr>
      <w:rFonts w:eastAsia="Times New Roman"/>
    </w:rPr>
  </w:style>
  <w:style w:type="paragraph" w:styleId="ListNumber3">
    <w:name w:val="List Number 3"/>
    <w:basedOn w:val="Normal"/>
    <w:pPr>
      <w:numPr>
        <w:numId w:val="8"/>
      </w:numPr>
      <w:contextualSpacing/>
    </w:pPr>
    <w:rPr>
      <w:rFonts w:eastAsia="Times New Roman"/>
    </w:rPr>
  </w:style>
  <w:style w:type="paragraph" w:styleId="ListNumber4">
    <w:name w:val="List Number 4"/>
    <w:basedOn w:val="Normal"/>
    <w:pPr>
      <w:numPr>
        <w:numId w:val="9"/>
      </w:numPr>
      <w:contextualSpacing/>
    </w:pPr>
    <w:rPr>
      <w:rFonts w:eastAsia="Times New Roman"/>
    </w:rPr>
  </w:style>
  <w:style w:type="paragraph" w:styleId="ListNumber5">
    <w:name w:val="List Number 5"/>
    <w:basedOn w:val="Normal"/>
    <w:pPr>
      <w:numPr>
        <w:numId w:val="10"/>
      </w:numPr>
      <w:contextualSpacing/>
    </w:pPr>
    <w:rPr>
      <w:rFonts w:eastAsia="Times New Roman"/>
    </w:rPr>
  </w:style>
  <w:style w:type="character" w:styleId="PageNumber">
    <w:name w:val="page number"/>
    <w:uiPriority w:val="99"/>
    <w:unhideWhenUsed/>
  </w:style>
  <w:style w:type="paragraph" w:styleId="NormalWeb">
    <w:name w:val="Normal (Web)"/>
    <w:basedOn w:val="Normal"/>
  </w:style>
  <w:style w:type="paragraph" w:customStyle="1" w:styleId="GeneralNumbering1">
    <w:name w:val="General Numbering 1"/>
    <w:basedOn w:val="BodyText"/>
    <w:pPr>
      <w:numPr>
        <w:numId w:val="12"/>
      </w:numPr>
    </w:pPr>
    <w:rPr>
      <w:rFonts w:eastAsia="Calibri"/>
    </w:rPr>
  </w:style>
  <w:style w:type="paragraph" w:customStyle="1" w:styleId="GeneralNumbering2">
    <w:name w:val="General Numbering 2"/>
    <w:basedOn w:val="BodyText"/>
    <w:pPr>
      <w:numPr>
        <w:ilvl w:val="1"/>
        <w:numId w:val="12"/>
      </w:numPr>
    </w:pPr>
    <w:rPr>
      <w:rFonts w:eastAsia="Calibri"/>
    </w:rPr>
  </w:style>
  <w:style w:type="paragraph" w:customStyle="1" w:styleId="GeneralNumbering3">
    <w:name w:val="General Numbering 3"/>
    <w:basedOn w:val="BodyText"/>
    <w:pPr>
      <w:numPr>
        <w:ilvl w:val="2"/>
        <w:numId w:val="12"/>
      </w:numPr>
    </w:pPr>
    <w:rPr>
      <w:rFonts w:eastAsia="Calibri"/>
    </w:rPr>
  </w:style>
  <w:style w:type="paragraph" w:customStyle="1" w:styleId="GeneralNumbering4">
    <w:name w:val="General Numbering 4"/>
    <w:basedOn w:val="BodyText"/>
    <w:pPr>
      <w:numPr>
        <w:ilvl w:val="3"/>
        <w:numId w:val="12"/>
      </w:numPr>
    </w:pPr>
    <w:rPr>
      <w:rFonts w:eastAsia="Calibri"/>
    </w:rPr>
  </w:style>
  <w:style w:type="paragraph" w:customStyle="1" w:styleId="GeneralNumbering5">
    <w:name w:val="General Numbering 5"/>
    <w:basedOn w:val="BodyText"/>
    <w:pPr>
      <w:numPr>
        <w:ilvl w:val="4"/>
        <w:numId w:val="12"/>
      </w:numPr>
    </w:pPr>
    <w:rPr>
      <w:rFonts w:eastAsia="Calibri"/>
    </w:rPr>
  </w:style>
  <w:style w:type="paragraph" w:customStyle="1" w:styleId="GeneralNumbering6">
    <w:name w:val="General Numbering 6"/>
    <w:basedOn w:val="BodyText"/>
    <w:pPr>
      <w:numPr>
        <w:ilvl w:val="5"/>
        <w:numId w:val="12"/>
      </w:numPr>
    </w:pPr>
    <w:rPr>
      <w:rFonts w:eastAsia="Calibri"/>
    </w:rPr>
  </w:style>
  <w:style w:type="paragraph" w:customStyle="1" w:styleId="GeneralNumbering7">
    <w:name w:val="General Numbering 7"/>
    <w:basedOn w:val="BodyText"/>
    <w:pPr>
      <w:numPr>
        <w:ilvl w:val="6"/>
        <w:numId w:val="12"/>
      </w:numPr>
    </w:pPr>
    <w:rPr>
      <w:rFonts w:eastAsia="Calibri"/>
    </w:rPr>
  </w:style>
  <w:style w:type="paragraph" w:customStyle="1" w:styleId="GeneralNumbering8">
    <w:name w:val="General Numbering 8"/>
    <w:basedOn w:val="BodyText"/>
    <w:pPr>
      <w:numPr>
        <w:ilvl w:val="7"/>
        <w:numId w:val="12"/>
      </w:numPr>
    </w:pPr>
    <w:rPr>
      <w:rFonts w:eastAsia="Calibri"/>
    </w:rPr>
  </w:style>
  <w:style w:type="paragraph" w:customStyle="1" w:styleId="GeneralNumbering9">
    <w:name w:val="General Numbering 9"/>
    <w:basedOn w:val="BodyText"/>
    <w:pPr>
      <w:numPr>
        <w:ilvl w:val="8"/>
        <w:numId w:val="12"/>
      </w:numPr>
    </w:pPr>
    <w:rPr>
      <w:rFonts w:eastAsia="Calibri"/>
    </w:rPr>
  </w:style>
  <w:style w:type="paragraph" w:customStyle="1" w:styleId="Heading">
    <w:name w:val="Heading"/>
    <w:basedOn w:val="Normal"/>
    <w:pPr>
      <w:keepNext/>
      <w:spacing w:before="240" w:after="60"/>
    </w:pPr>
    <w:rPr>
      <w:rFonts w:eastAsia="Times New Roman"/>
      <w:kern w:val="24"/>
    </w:rPr>
  </w:style>
  <w:style w:type="paragraph" w:customStyle="1" w:styleId="Heading1notoc">
    <w:name w:val="Heading 1 (no toc)"/>
    <w:basedOn w:val="Heading1"/>
    <w:next w:val="BodyText"/>
    <w:pPr>
      <w:numPr>
        <w:numId w:val="0"/>
      </w:numPr>
      <w:outlineLvl w:val="9"/>
    </w:pPr>
  </w:style>
  <w:style w:type="paragraph" w:customStyle="1" w:styleId="Heading2notoc">
    <w:name w:val="Heading 2 (no toc)"/>
    <w:basedOn w:val="Heading2"/>
    <w:next w:val="BodyText"/>
    <w:pPr>
      <w:numPr>
        <w:ilvl w:val="0"/>
        <w:numId w:val="0"/>
      </w:numPr>
      <w:outlineLvl w:val="9"/>
    </w:pPr>
  </w:style>
  <w:style w:type="paragraph" w:customStyle="1" w:styleId="Heading3notoc">
    <w:name w:val="Heading 3 (no toc)"/>
    <w:basedOn w:val="Heading3"/>
    <w:next w:val="BodyText"/>
    <w:pPr>
      <w:numPr>
        <w:ilvl w:val="0"/>
        <w:numId w:val="0"/>
      </w:numPr>
      <w:outlineLvl w:val="9"/>
    </w:pPr>
  </w:style>
  <w:style w:type="character" w:styleId="Hyperlink">
    <w:name w:val="Hyperlink"/>
    <w:basedOn w:val="DefaultParagraphFont"/>
    <w:uiPriority w:val="99"/>
    <w:unhideWhenUsed/>
    <w:rPr>
      <w:color w:val="0000FF" w:themeColor="hyperlink"/>
      <w:u w:val="single"/>
    </w:rPr>
  </w:style>
  <w:style w:type="paragraph" w:customStyle="1" w:styleId="DocID">
    <w:name w:val="DocID"/>
    <w:basedOn w:val="Footer"/>
    <w:next w:val="Footer"/>
    <w:link w:val="DocIDChar"/>
    <w:pPr>
      <w:tabs>
        <w:tab w:val="clear" w:pos="4680"/>
        <w:tab w:val="clear" w:pos="9360"/>
      </w:tabs>
      <w:spacing w:after="0"/>
    </w:pPr>
    <w:rPr>
      <w:sz w:val="16"/>
    </w:rPr>
  </w:style>
  <w:style w:type="character" w:customStyle="1" w:styleId="DocIDChar">
    <w:name w:val="DocID Char"/>
    <w:basedOn w:val="BodyTextChar"/>
    <w:link w:val="DocID"/>
    <w:rPr>
      <w:rFonts w:eastAsia="Times New Roman" w:cs="Times New Roman"/>
      <w:sz w:val="16"/>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11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justice.gov/atr/file/783756/download" TargetMode="External"/><Relationship Id="rId18" Type="http://schemas.openxmlformats.org/officeDocument/2006/relationships/hyperlink" Target="https://www.justice.gov/atr/health-care-related-congressional-testimony" TargetMode="External"/><Relationship Id="rId26" Type="http://schemas.openxmlformats.org/officeDocument/2006/relationships/hyperlink" Target="https://www.ftc.gov/tips-advice/competition-guidance/industry-guidance/health-care" TargetMode="External"/><Relationship Id="rId39"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s://www.justice.gov/atr/accountable-care-organizations" TargetMode="External"/><Relationship Id="rId34" Type="http://schemas.openxmlformats.org/officeDocument/2006/relationships/hyperlink" Target="http://www.modernhealthcare.com/section/articles?tagID=5917" TargetMode="External"/><Relationship Id="rId7" Type="http://schemas.openxmlformats.org/officeDocument/2006/relationships/footnotes" Target="footnotes.xml"/><Relationship Id="rId12" Type="http://schemas.openxmlformats.org/officeDocument/2006/relationships/hyperlink" Target="https://www.justice.gov/atr/health-care" TargetMode="External"/><Relationship Id="rId17" Type="http://schemas.openxmlformats.org/officeDocument/2006/relationships/hyperlink" Target="https://www.justice.gov/atr/health-care-competition-advocacy" TargetMode="External"/><Relationship Id="rId25" Type="http://schemas.openxmlformats.org/officeDocument/2006/relationships/hyperlink" Target="https://www.ftc.gov/news-events/media-resources/mergers-competition/health-care-competition" TargetMode="External"/><Relationship Id="rId33" Type="http://schemas.openxmlformats.org/officeDocument/2006/relationships/hyperlink" Target="http://www.gklaw.com/Resources/Documents/244.pdf" TargetMode="External"/><Relationship Id="rId38"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s://www.justice.gov/atr/health-care-related-speeches-1994" TargetMode="External"/><Relationship Id="rId20" Type="http://schemas.openxmlformats.org/officeDocument/2006/relationships/hyperlink" Target="https://www.justice.gov/sites/default/files/atr/legacy/2014/05/30/279568.pdf" TargetMode="External"/><Relationship Id="rId29" Type="http://schemas.openxmlformats.org/officeDocument/2006/relationships/hyperlink" Target="https://www.ftc.gov/system/files/attachments/competition-policy-guidance/overview_health_care_advisory_opinions_september_2017.pdf" TargetMode="External"/><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justice.gov/atr/articles-and-papers" TargetMode="External"/><Relationship Id="rId24" Type="http://schemas.openxmlformats.org/officeDocument/2006/relationships/hyperlink" Target="https://www.ftc.gov/sites/default/files/documents/public_events/joint-venture-hearings-antitrust-guidelines-collaboration-among-competitors/ftcdojguidelines-2.pdf" TargetMode="External"/><Relationship Id="rId32" Type="http://schemas.openxmlformats.org/officeDocument/2006/relationships/hyperlink" Target="https://oag.ca.gov/system/files/attachments/press_releases/Sutter%20Complaint.pdf" TargetMode="External"/><Relationship Id="rId37" Type="http://schemas.openxmlformats.org/officeDocument/2006/relationships/hyperlink" Target="https://www.ftc.gov/news-events/events-calendar/2015/02/examining-health-care-competition"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justice.gov/atr/health-care-related-press-releases-1992" TargetMode="External"/><Relationship Id="rId23" Type="http://schemas.openxmlformats.org/officeDocument/2006/relationships/hyperlink" Target="https://www.ftc.gov/sites/default/files/attachments/merger-review/100819hmg.pdf" TargetMode="External"/><Relationship Id="rId28" Type="http://schemas.openxmlformats.org/officeDocument/2006/relationships/hyperlink" Target="https://www.ftc.gov/system/files/attachments/competition-policy-guidance/overview_pharma_september_2017.pdf" TargetMode="External"/><Relationship Id="rId36" Type="http://schemas.openxmlformats.org/officeDocument/2006/relationships/hyperlink" Target="https://www.ftc.gov/system/files/documents/public_events/618591/transcript-day1.pdf" TargetMode="External"/><Relationship Id="rId10" Type="http://schemas.openxmlformats.org/officeDocument/2006/relationships/hyperlink" Target="https://www.justice.gov/atr/division-manual" TargetMode="External"/><Relationship Id="rId19" Type="http://schemas.openxmlformats.org/officeDocument/2006/relationships/hyperlink" Target="https://www.justice.gov/atr/file/783771/download" TargetMode="External"/><Relationship Id="rId31" Type="http://schemas.openxmlformats.org/officeDocument/2006/relationships/hyperlink" Target="http://docs.house.gov/meetings/IF/IF02/20180214/106855/HHRG-115-IF02-20180214-SD002.pdf" TargetMode="External"/><Relationship Id="rId4" Type="http://schemas.openxmlformats.org/officeDocument/2006/relationships/styles" Target="styles.xml"/><Relationship Id="rId9" Type="http://schemas.openxmlformats.org/officeDocument/2006/relationships/hyperlink" Target="https://www.justice.gov/atr/file/761166/download" TargetMode="External"/><Relationship Id="rId14" Type="http://schemas.openxmlformats.org/officeDocument/2006/relationships/hyperlink" Target="https://www.justice.gov/atr/file/783766/download" TargetMode="External"/><Relationship Id="rId22" Type="http://schemas.openxmlformats.org/officeDocument/2006/relationships/hyperlink" Target="https://www.justice.gov/atr/statements-antitrust-enforcement-policy-health-care" TargetMode="External"/><Relationship Id="rId27" Type="http://schemas.openxmlformats.org/officeDocument/2006/relationships/hyperlink" Target="https://www.ftc.gov/system/files/attachments/competition-policy-guidance/overview_health_care_september_2017.pdf" TargetMode="External"/><Relationship Id="rId30" Type="http://schemas.openxmlformats.org/officeDocument/2006/relationships/hyperlink" Target="https://www.ftc.gov/enforcement/cases-proceedings/121-0069/st-lukes-health-system-ltd-saltzer-medical-group-pa" TargetMode="External"/><Relationship Id="rId35" Type="http://schemas.openxmlformats.org/officeDocument/2006/relationships/hyperlink" Target="https://www.americanbar.org/content/dam/aba/publications/antitrust_law/state_of_antitrust_enforcement.authcheckdam.pdf" TargetMode="External"/></Relationships>
</file>

<file path=word/theme/theme1.xml><?xml version="1.0" encoding="utf-8"?>
<a:theme xmlns:a="http://schemas.openxmlformats.org/drawingml/2006/main" name="Office Theme">
  <a:themeElements>
    <a:clrScheme name="GKColors">
      <a:dk1>
        <a:sysClr val="windowText" lastClr="000000"/>
      </a:dk1>
      <a:lt1>
        <a:sysClr val="window" lastClr="FFFFFF"/>
      </a:lt1>
      <a:dk2>
        <a:srgbClr val="7F7F7F"/>
      </a:dk2>
      <a:lt2>
        <a:srgbClr val="D8D8D8"/>
      </a:lt2>
      <a:accent1>
        <a:srgbClr val="002D62"/>
      </a:accent1>
      <a:accent2>
        <a:srgbClr val="AA9C8F"/>
      </a:accent2>
      <a:accent3>
        <a:srgbClr val="800000"/>
      </a:accent3>
      <a:accent4>
        <a:srgbClr val="76923C"/>
      </a:accent4>
      <a:accent5>
        <a:srgbClr val="0000BF"/>
      </a:accent5>
      <a:accent6>
        <a:srgbClr val="E36C09"/>
      </a:accent6>
      <a:hlink>
        <a:srgbClr val="0000FF"/>
      </a:hlink>
      <a:folHlink>
        <a:srgbClr val="800080"/>
      </a:folHlink>
    </a:clrScheme>
    <a:fontScheme name="GK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60AF9-4478-477A-9B10-2B23558AB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1237</Words>
  <Characters>7054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GodfreyKahn</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Kelsey</dc:creator>
  <cp:keywords/>
  <cp:lastModifiedBy>Foley, Jennifer</cp:lastModifiedBy>
  <cp:revision>2</cp:revision>
  <cp:lastPrinted>2018-04-03T17:04:00Z</cp:lastPrinted>
  <dcterms:created xsi:type="dcterms:W3CDTF">2019-07-10T12:04:00Z</dcterms:created>
  <dcterms:modified xsi:type="dcterms:W3CDTF">2019-07-10T12:04:00Z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18738582.1</vt:lpwstr>
  </property>
  <property fmtid="{D5CDD505-2E9C-101B-9397-08002B2CF9AE}" pid="3" name="CUS_DocIDChunk0">
    <vt:lpwstr>18738582.1</vt:lpwstr>
  </property>
  <property fmtid="{D5CDD505-2E9C-101B-9397-08002B2CF9AE}" pid="4" name="CUS_DocIDActiveBits">
    <vt:lpwstr>98304</vt:lpwstr>
  </property>
  <property fmtid="{D5CDD505-2E9C-101B-9397-08002B2CF9AE}" pid="5" name="CUS_DocIDLocation">
    <vt:lpwstr>END_OF_DOCUMENT</vt:lpwstr>
  </property>
</Properties>
</file>